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v:background id="_x0000_s1025" filled="t" fillcolor="white">
      <v:fill color2="white"/>
    </v:background>
  </w:background>
  <w:body>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240" w:lineRule="auto"/>
        <w:jc w:val="center"/>
        <w:rPr>
          <w:rFonts w:ascii="方正小标宋简体" w:eastAsia="方正小标宋简体" w:hAnsi="方正小标宋简体" w:cs="方正小标宋简体" w:hint="eastAsia"/>
          <w:sz w:val="48"/>
          <w:szCs w:val="48"/>
          <w:highlight w:val="none"/>
          <w:lang w:val="en-US" w:eastAsia="zh-CN"/>
        </w:rPr>
      </w:pPr>
      <w:r>
        <w:rPr>
          <w:rFonts w:ascii="方正小标宋简体" w:eastAsia="方正小标宋简体" w:hAnsi="方正小标宋简体" w:cs="方正小标宋简体" w:hint="eastAsia"/>
          <w:sz w:val="48"/>
          <w:szCs w:val="48"/>
          <w:highlight w:val="none"/>
          <w:lang w:val="en-US" w:eastAsia="zh-CN"/>
        </w:rPr>
        <w:t xml:space="preserve">天津市疾病预防控制中心</w:t>
      </w:r>
    </w:p>
    <w:p>
      <w:pPr>
        <w:divId w:val="0"/>
        <w:spacing w:line="240" w:lineRule="auto"/>
        <w:jc w:val="center"/>
        <w:rPr>
          <w:rFonts w:ascii="方正小标宋简体" w:eastAsia="方正小标宋简体" w:hAnsi="方正小标宋简体" w:cs="方正小标宋简体" w:hint="eastAsia"/>
          <w:w w:val="95"/>
          <w:sz w:val="48"/>
          <w:szCs w:val="48"/>
          <w:highlight w:val="none"/>
        </w:rPr>
      </w:pPr>
      <w:r>
        <w:rPr>
          <w:rFonts w:ascii="方正小标宋简体" w:eastAsia="方正小标宋简体" w:hAnsi="方正小标宋简体" w:cs="方正小标宋简体" w:hint="eastAsia"/>
          <w:sz w:val="48"/>
          <w:szCs w:val="48"/>
          <w:highlight w:val="none"/>
          <w:lang w:eastAsia="zh-CN"/>
        </w:rPr>
        <w:t xml:space="preserve">202</w:t>
      </w:r>
      <w:r>
        <w:rPr>
          <w:rFonts w:ascii="方正小标宋简体" w:eastAsia="方正小标宋简体" w:hAnsi="方正小标宋简体" w:cs="方正小标宋简体" w:hint="eastAsia"/>
          <w:sz w:val="48"/>
          <w:szCs w:val="48"/>
          <w:highlight w:val="none"/>
          <w:lang w:val="en-US" w:eastAsia="zh-CN"/>
        </w:rPr>
        <w:t xml:space="preserve">5</w:t>
      </w:r>
      <w:r>
        <w:rPr>
          <w:rFonts w:ascii="方正小标宋简体" w:eastAsia="方正小标宋简体" w:hAnsi="方正小标宋简体" w:cs="方正小标宋简体" w:hint="eastAsia"/>
          <w:sz w:val="48"/>
          <w:szCs w:val="48"/>
          <w:highlight w:val="none"/>
        </w:rPr>
        <w:t xml:space="preserve">年度</w:t>
      </w:r>
      <w:r>
        <w:rPr>
          <w:rFonts w:ascii="方正小标宋简体" w:eastAsia="方正小标宋简体" w:hAnsi="方正小标宋简体" w:cs="方正小标宋简体" w:hint="eastAsia"/>
          <w:sz w:val="48"/>
          <w:szCs w:val="48"/>
          <w:highlight w:val="none"/>
          <w:lang w:val="en-US" w:eastAsia="zh-CN"/>
        </w:rPr>
        <w:t xml:space="preserve">单位</w:t>
      </w:r>
      <w:r>
        <w:rPr>
          <w:rFonts w:ascii="方正小标宋简体" w:eastAsia="方正小标宋简体" w:hAnsi="方正小标宋简体" w:cs="方正小标宋简体" w:hint="eastAsia"/>
          <w:sz w:val="48"/>
          <w:szCs w:val="48"/>
          <w:highlight w:val="none"/>
        </w:rPr>
        <w:t xml:space="preserve">决算</w:t>
      </w: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600" w:lineRule="exact"/>
        <w:jc w:val="center"/>
        <w:rPr>
          <w:rFonts w:ascii="黑体" w:eastAsia="黑体" w:hint="eastAsia"/>
          <w:sz w:val="44"/>
          <w:szCs w:val="44"/>
          <w:highlight w:val="none"/>
        </w:rPr>
        <w:sectPr>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sectPr>
      </w:pPr>
    </w:p>
    <w:p>
      <w:pPr>
        <w:divId w:val="0"/>
        <w:spacing w:line="600" w:lineRule="exact"/>
        <w:jc w:val="center"/>
        <w:rPr>
          <w:rFonts w:ascii="黑体" w:eastAsia="黑体" w:hint="eastAsia"/>
          <w:sz w:val="44"/>
          <w:szCs w:val="44"/>
          <w:highlight w:val="none"/>
        </w:rPr>
      </w:pPr>
    </w:p>
    <w:p>
      <w:pPr>
        <w:divId w:val="0"/>
        <w:spacing w:line="600" w:lineRule="exact"/>
        <w:jc w:val="center"/>
        <w:rPr>
          <w:rFonts w:ascii="黑体" w:eastAsia="黑体" w:hint="eastAsia"/>
          <w:sz w:val="44"/>
          <w:szCs w:val="44"/>
          <w:highlight w:val="none"/>
        </w:rPr>
      </w:pPr>
      <w:r>
        <w:rPr>
          <w:rFonts w:ascii="黑体" w:eastAsia="黑体" w:hint="eastAsia"/>
          <w:sz w:val="44"/>
          <w:szCs w:val="44"/>
          <w:highlight w:val="none"/>
        </w:rPr>
        <w:t xml:space="preserve">目</w:t>
      </w:r>
      <w:r>
        <w:rPr>
          <w:rFonts w:ascii="黑体" w:eastAsia="黑体" w:hint="eastAsia"/>
          <w:sz w:val="44"/>
          <w:szCs w:val="44"/>
          <w:highlight w:val="none"/>
        </w:rPr>
        <w:t xml:space="preserve">  </w:t>
      </w:r>
      <w:r>
        <w:rPr>
          <w:rFonts w:ascii="黑体" w:eastAsia="黑体" w:hint="eastAsia"/>
          <w:sz w:val="44"/>
          <w:szCs w:val="44"/>
          <w:highlight w:val="none"/>
        </w:rPr>
        <w:t xml:space="preserve"> </w:t>
      </w:r>
      <w:r>
        <w:rPr>
          <w:rFonts w:ascii="黑体" w:eastAsia="黑体" w:hint="eastAsia"/>
          <w:sz w:val="44"/>
          <w:szCs w:val="44"/>
          <w:highlight w:val="none"/>
        </w:rPr>
        <w:t xml:space="preserve">录</w:t>
      </w:r>
    </w:p>
    <w:p>
      <w:pPr>
        <w:divId w:val="0"/>
        <w:spacing w:line="600" w:lineRule="exact"/>
        <w:rPr>
          <w:rFonts w:ascii="黑体" w:eastAsia="黑体" w:hint="eastAsia"/>
          <w:sz w:val="30"/>
          <w:szCs w:val="30"/>
          <w:highlight w:val="none"/>
        </w:rPr>
      </w:pP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TOC \o "1-3" \h \z \u</w:instrText>
      </w:r>
      <w:r>
        <w:rPr>
          <w:rFonts w:ascii="仿宋" w:eastAsia="仿宋" w:hAnsi="仿宋" w:cs="仿宋"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第一部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概</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况</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default"/>
          <w:sz w:val="30"/>
          <w:szCs w:val="30"/>
          <w:highlight w:val="none"/>
          <w:lang w:val="en-US" w:eastAsia="zh-CN"/>
        </w:rPr>
        <w:fldChar w:fldCharType="begin"/>
      </w:r>
      <w:r>
        <w:rPr>
          <w:rFonts w:ascii="Times New Roman" w:eastAsia="方正小标宋简体" w:hAnsi="Times New Roman" w:cs="Times New Roman" w:hint="default"/>
          <w:sz w:val="30"/>
          <w:szCs w:val="30"/>
          <w:highlight w:val="none"/>
          <w:lang w:val="en-US" w:eastAsia="zh-CN"/>
        </w:rPr>
        <w:instrText xml:space="preserve"> PAGEREF _Toc544 \h </w:instrText>
      </w:r>
      <w:r>
        <w:rPr>
          <w:rFonts w:ascii="Times New Roman" w:eastAsia="方正小标宋简体" w:hAnsi="Times New Roman" w:cs="Times New Roman" w:hint="default"/>
          <w:sz w:val="30"/>
          <w:szCs w:val="30"/>
          <w:highlight w:val="none"/>
          <w:lang w:val="en-US" w:eastAsia="zh-CN"/>
        </w:rPr>
        <w:fldChar w:fldCharType="separate"/>
      </w:r>
      <w:r>
        <w:rPr>
          <w:rFonts w:ascii="Times New Roman" w:eastAsia="方正小标宋简体" w:hAnsi="Times New Roman" w:cs="Times New Roman" w:hint="default"/>
          <w:sz w:val="30"/>
          <w:szCs w:val="30"/>
          <w:highlight w:val="none"/>
          <w:lang w:val="en-US" w:eastAsia="zh-CN"/>
        </w:rPr>
        <w:t xml:space="preserve">1</w:t>
      </w:r>
      <w:r>
        <w:rPr>
          <w:rFonts w:ascii="Times New Roman" w:eastAsia="方正小标宋简体" w:hAnsi="Times New Roman" w:cs="Times New Roman" w:hint="default"/>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一、主要职责</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_Toc31533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二、机构设置</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_Toc31383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第二部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202</w:t>
      </w:r>
      <w:r>
        <w:rPr>
          <w:rFonts w:ascii="方正小标宋简体" w:eastAsia="方正小标宋简体" w:hAnsi="方正小标宋简体" w:cs="方正小标宋简体" w:hint="eastAsia"/>
          <w:sz w:val="30"/>
          <w:szCs w:val="30"/>
          <w:highlight w:val="none"/>
          <w:lang w:val="en-US" w:eastAsia="zh-CN"/>
        </w:rPr>
        <w:t xml:space="preserve">5</w:t>
      </w:r>
      <w:r>
        <w:rPr>
          <w:rFonts w:ascii="方正小标宋简体" w:eastAsia="方正小标宋简体" w:hAnsi="方正小标宋简体" w:cs="方正小标宋简体" w:hint="eastAsia"/>
          <w:sz w:val="30"/>
          <w:szCs w:val="30"/>
          <w:highlight w:val="none"/>
          <w:lang w:val="en-US" w:eastAsia="zh-CN"/>
        </w:rPr>
        <w:t xml:space="preserve">年度单位决算表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_Toc24540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一、《收入支出决算总表》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_Toc23540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4</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二、《收入决算表（按功能分类列示）》</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_Toc8357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5</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三、《收入决算表（按单位列示）》</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_Toc12692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7</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四、《支出决算表》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_Toc1008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9</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五、《财政拨款收入支出决算总表》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_Toc22229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六、《一般公共预算财政拨款支出决算表》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_Toc13290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13</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七、《一般公共预算财政拨款基本支出决算表》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_Toc16463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15</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八、《政府性基金预算财政拨款收入支出决算表》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_Toc360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18</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九、《国有资本经营预算财政拨款收入支出决算表》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_Toc22450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19</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十、《财政拨</w:t>
      </w:r>
      <w:r>
        <w:rPr>
          <w:rFonts w:ascii="仿宋" w:eastAsia="仿宋" w:hAnsi="仿宋" w:cs="仿宋" w:hint="eastAsia"/>
          <w:sz w:val="30"/>
          <w:szCs w:val="30"/>
          <w:highlight w:val="none"/>
          <w:lang w:val="en-US" w:eastAsia="zh-CN"/>
        </w:rPr>
        <w:t xml:space="preserve">款</w:t>
      </w:r>
      <w:r>
        <w:rPr>
          <w:rFonts w:ascii="仿宋" w:eastAsia="仿宋" w:hAnsi="仿宋" w:cs="仿宋" w:hint="eastAsia"/>
          <w:sz w:val="30"/>
          <w:szCs w:val="30"/>
          <w:highlight w:val="none"/>
          <w:lang w:val="en-US" w:eastAsia="zh-CN"/>
        </w:rPr>
        <w:t xml:space="preserve">“</w:t>
      </w:r>
      <w:r>
        <w:rPr>
          <w:rFonts w:ascii="仿宋" w:eastAsia="仿宋" w:hAnsi="仿宋" w:cs="仿宋" w:hint="eastAsia"/>
          <w:sz w:val="30"/>
          <w:szCs w:val="30"/>
          <w:highlight w:val="none"/>
          <w:lang w:val="en-US" w:eastAsia="zh-CN"/>
        </w:rPr>
        <w:t xml:space="preserve">三</w:t>
      </w:r>
      <w:r>
        <w:rPr>
          <w:rFonts w:ascii="仿宋" w:eastAsia="仿宋" w:hAnsi="仿宋" w:cs="仿宋" w:hint="eastAsia"/>
          <w:sz w:val="30"/>
          <w:szCs w:val="30"/>
          <w:highlight w:val="none"/>
          <w:lang w:val="en-US" w:eastAsia="zh-CN"/>
        </w:rPr>
        <w:t xml:space="preserve">公</w:t>
      </w:r>
      <w:r>
        <w:rPr>
          <w:rFonts w:ascii="仿宋" w:eastAsia="仿宋" w:hAnsi="仿宋" w:cs="仿宋" w:hint="eastAsia"/>
          <w:sz w:val="30"/>
          <w:szCs w:val="30"/>
          <w:highlight w:val="none"/>
          <w:lang w:val="en-US" w:eastAsia="zh-CN"/>
        </w:rPr>
        <w:t xml:space="preserve">”</w:t>
      </w:r>
      <w:r>
        <w:rPr>
          <w:rFonts w:ascii="仿宋" w:eastAsia="仿宋" w:hAnsi="仿宋" w:cs="仿宋" w:hint="eastAsia"/>
          <w:sz w:val="30"/>
          <w:szCs w:val="30"/>
          <w:highlight w:val="none"/>
          <w:lang w:val="en-US" w:eastAsia="zh-CN"/>
        </w:rPr>
        <w:t xml:space="preserve">经费支出决算表》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_Toc25280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20</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十一、《项目支出决算表》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_Toc18372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第三部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202</w:t>
      </w:r>
      <w:r>
        <w:rPr>
          <w:rFonts w:ascii="方正小标宋简体" w:eastAsia="方正小标宋简体" w:hAnsi="方正小标宋简体" w:cs="方正小标宋简体" w:hint="eastAsia"/>
          <w:sz w:val="30"/>
          <w:szCs w:val="30"/>
          <w:highlight w:val="none"/>
          <w:lang w:val="en-US" w:eastAsia="zh-CN"/>
        </w:rPr>
        <w:t xml:space="preserve">5</w:t>
      </w:r>
      <w:r>
        <w:rPr>
          <w:rFonts w:ascii="方正小标宋简体" w:eastAsia="方正小标宋简体" w:hAnsi="方正小标宋简体" w:cs="方正小标宋简体" w:hint="eastAsia"/>
          <w:sz w:val="30"/>
          <w:szCs w:val="30"/>
          <w:highlight w:val="none"/>
          <w:lang w:val="en-US" w:eastAsia="zh-CN"/>
        </w:rPr>
        <w:t xml:space="preserve">年度单位决算情况说明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_Toc13918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29</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一、收入支出决算总体情况说明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_Toc16656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29</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二、收入决算情况说明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_Toc20266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29</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三、支出决算情况说明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_Toc17730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29</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四、财政拨款收支决算总体情况说明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_Toc16631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30</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五、一般公共预算财政拨款支出决算情况说明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_Toc13902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30</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六、一般公共预算财政拨款基本支出决算情况说明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_Toc21908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33</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七、政府性基金预算财政拨款收支决算情况说明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_Toc4044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34</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八、国有资本经营预算财政拨款收支决算情况说明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_Toc5943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34</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九、财政拨</w:t>
      </w:r>
      <w:r>
        <w:rPr>
          <w:rFonts w:ascii="仿宋" w:eastAsia="仿宋" w:hAnsi="仿宋" w:cs="仿宋" w:hint="eastAsia"/>
          <w:sz w:val="30"/>
          <w:szCs w:val="30"/>
          <w:highlight w:val="none"/>
          <w:lang w:val="en-US" w:eastAsia="zh-CN"/>
        </w:rPr>
        <w:t xml:space="preserve">款</w:t>
      </w:r>
      <w:r>
        <w:rPr>
          <w:rFonts w:ascii="仿宋" w:eastAsia="仿宋" w:hAnsi="仿宋" w:cs="仿宋" w:hint="eastAsia"/>
          <w:sz w:val="30"/>
          <w:szCs w:val="30"/>
          <w:highlight w:val="none"/>
          <w:lang w:val="en-US" w:eastAsia="zh-CN"/>
        </w:rPr>
        <w:t xml:space="preserve">“</w:t>
      </w:r>
      <w:r>
        <w:rPr>
          <w:rFonts w:ascii="仿宋" w:eastAsia="仿宋" w:hAnsi="仿宋" w:cs="仿宋" w:hint="eastAsia"/>
          <w:sz w:val="30"/>
          <w:szCs w:val="30"/>
          <w:highlight w:val="none"/>
          <w:lang w:val="en-US" w:eastAsia="zh-CN"/>
        </w:rPr>
        <w:t xml:space="preserve">三</w:t>
      </w:r>
      <w:r>
        <w:rPr>
          <w:rFonts w:ascii="仿宋" w:eastAsia="仿宋" w:hAnsi="仿宋" w:cs="仿宋" w:hint="eastAsia"/>
          <w:sz w:val="30"/>
          <w:szCs w:val="30"/>
          <w:highlight w:val="none"/>
          <w:lang w:val="en-US" w:eastAsia="zh-CN"/>
        </w:rPr>
        <w:t xml:space="preserve">公</w:t>
      </w:r>
      <w:r>
        <w:rPr>
          <w:rFonts w:ascii="仿宋" w:eastAsia="仿宋" w:hAnsi="仿宋" w:cs="仿宋" w:hint="eastAsia"/>
          <w:sz w:val="30"/>
          <w:szCs w:val="30"/>
          <w:highlight w:val="none"/>
          <w:lang w:val="en-US" w:eastAsia="zh-CN"/>
        </w:rPr>
        <w:t xml:space="preserve">”</w:t>
      </w:r>
      <w:r>
        <w:rPr>
          <w:rFonts w:ascii="仿宋" w:eastAsia="仿宋" w:hAnsi="仿宋" w:cs="仿宋" w:hint="eastAsia"/>
          <w:sz w:val="30"/>
          <w:szCs w:val="30"/>
          <w:highlight w:val="none"/>
          <w:lang w:val="en-US" w:eastAsia="zh-CN"/>
        </w:rPr>
        <w:t xml:space="preserve">经费支出决算情况说明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_Toc9262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34</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十、机关运行经费支出情况说明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_Toc850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36</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十一、政府采购支出情况说明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_Toc17600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36</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十二、国有资产占有使用情况说明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_Toc20762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36</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十三、预算绩效情况说明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_Toc12945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37</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十四、教育、医疗卫生、社会保障和就业、住房保障、涉农补贴等民生支出情况说明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_Toc20809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37</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第四部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名词解释</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_Toc26550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38</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rPr>
          <w:rFonts w:ascii="Times New Roman" w:eastAsia="方正仿宋_GB2312" w:hAnsi="Times New Roman"/>
          <w:sz w:val="32"/>
          <w:szCs w:val="32"/>
          <w:highlight w:val="none"/>
        </w:rPr>
        <w:sectPr>
          <w:footerReference w:type="default" r:id="rId4"/>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sectPr>
      </w:pPr>
      <w:r>
        <w:rPr>
          <w:rFonts w:ascii="仿宋" w:eastAsia="仿宋" w:hAnsi="仿宋" w:cs="仿宋" w:hint="eastAsia"/>
          <w:szCs w:val="30"/>
          <w:highlight w:val="none"/>
          <w:lang w:val="en-US" w:eastAsia="zh-CN"/>
        </w:rPr>
        <w:fldChar w:fldCharType="end"/>
      </w:r>
    </w:p>
    <w:p>
      <w:pPr>
        <w:rPr>
          <w:rFonts w:hint="eastAsia"/>
          <w:highlight w:val="none"/>
        </w:rPr>
      </w:pPr>
    </w:p>
    <w:p>
      <w:pPr>
        <w:pStyle w:val="标题1"/>
        <w:spacing w:before="0" w:after="0" w:line="600" w:lineRule="exact"/>
        <w:jc w:val="center"/>
        <w:rPr>
          <w:rFonts w:ascii="方正小标宋简体" w:eastAsia="方正小标宋简体" w:hAnsi="方正小标宋简体" w:cs="方正小标宋简体" w:hint="eastAsia"/>
          <w:b w:val="0"/>
          <w:sz w:val="48"/>
          <w:szCs w:val="48"/>
          <w:highlight w:val="none"/>
        </w:rPr>
      </w:pPr>
    </w:p>
    <w:p>
      <w:pPr>
        <w:pStyle w:val="标题1"/>
        <w:spacing w:before="0" w:after="0" w:line="600" w:lineRule="exact"/>
        <w:jc w:val="center"/>
        <w:rPr>
          <w:rFonts w:ascii="方正小标宋简体" w:eastAsia="方正小标宋简体" w:hAnsi="方正小标宋简体" w:cs="方正小标宋简体"/>
          <w:b w:val="0"/>
          <w:sz w:val="44"/>
          <w:szCs w:val="44"/>
          <w:highlight w:val="none"/>
        </w:rPr>
      </w:pPr>
      <w:bookmarkStart w:id="0" w:name="_Toc544"/>
      <w:r>
        <w:rPr>
          <w:rFonts w:ascii="方正小标宋简体" w:eastAsia="方正小标宋简体" w:hAnsi="方正小标宋简体" w:cs="方正小标宋简体" w:hint="eastAsia"/>
          <w:b w:val="0"/>
          <w:lang w:val="en-US" w:eastAsia="zh-CN"/>
        </w:rPr>
        <w:t xml:space="preserve">第一部分  概 况</w:t>
      </w:r>
      <w:bookmarkEnd w:id="0"/>
    </w:p>
    <w:p>
      <w:pPr>
        <w:divId w:val="0"/>
        <w:spacing w:line="600" w:lineRule="exact"/>
        <w:rPr>
          <w:rFonts w:hint="eastAsia"/>
          <w:highlight w:val="none"/>
        </w:rPr>
      </w:pPr>
    </w:p>
    <w:p>
      <w:pPr>
        <w:pStyle w:val="标题2"/>
        <w:wordWrap w:val="0"/>
        <w:spacing w:before="0" w:after="0" w:line="800" w:lineRule="exact"/>
        <w:ind w:firstLine="600" w:firstLineChars="200"/>
        <w:rPr>
          <w:rFonts w:ascii="黑体" w:eastAsia="黑体" w:hAnsi="黑体" w:hint="eastAsia"/>
          <w:b w:val="0"/>
          <w:bCs w:val="0"/>
          <w:sz w:val="30"/>
          <w:szCs w:val="30"/>
          <w:highlight w:val="none"/>
        </w:rPr>
      </w:pPr>
      <w:bookmarkStart w:id="1" w:name="_Toc31533"/>
      <w:r>
        <w:rPr>
          <w:rFonts w:ascii="黑体" w:eastAsia="黑体" w:hAnsi="黑体" w:hint="eastAsia"/>
          <w:sz w:val="30"/>
          <w:szCs w:val="30"/>
          <w:lang w:val="en-US" w:eastAsia="zh-CN"/>
        </w:rPr>
        <w:t xml:space="preserve">一、主要职责</w:t>
      </w:r>
      <w:bookmarkEnd w:id="1"/>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天津市疾病预防控制中心</w:t>
      </w:r>
      <w:r>
        <w:rPr>
          <w:rFonts w:eastAsia="仿宋_GB2312" w:hint="eastAsia"/>
          <w:sz w:val="30"/>
          <w:szCs w:val="30"/>
          <w:highlight w:val="none"/>
          <w:lang w:val="en-US" w:eastAsia="zh-CN"/>
        </w:rPr>
        <w:t xml:space="preserve">的主要职责是</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承担传染性疾病、非传染性疾病、地方病、学生常见病等预防与控制，以及病媒生物防治工作；承担突发公共卫生事件和灾害疫情应急处置的相关工作；承担疫情及健康相关因素信息管理工作；实施国家免疫规划，开展与预防接种相关的宣传、培训、技术指导、监测、评价、流行病学调查、应急处置等工作；开展食源性、职业性、放射性和环境性等健康危害因素监测与干预；开展疾病病原生物检测、鉴定和物理、化学因子检测、评价；开展疾病预防控制技术管理与应用性技术研究</w:t>
      </w:r>
      <w:r>
        <w:rPr>
          <w:rFonts w:eastAsia="仿宋_GB2312" w:hint="eastAsia"/>
          <w:sz w:val="30"/>
          <w:szCs w:val="30"/>
          <w:highlight w:val="none"/>
          <w:lang w:val="en-US" w:eastAsia="zh-CN"/>
        </w:rPr>
        <w:t xml:space="preserve">。</w:t>
      </w:r>
    </w:p>
    <w:p>
      <w:pPr>
        <w:pStyle w:val="标题2"/>
        <w:spacing w:before="0" w:after="0" w:line="600" w:lineRule="exact"/>
        <w:ind w:firstLine="600" w:firstLineChars="200"/>
        <w:rPr>
          <w:rFonts w:ascii="黑体" w:eastAsia="黑体" w:hAnsi="黑体" w:hint="eastAsia"/>
          <w:b w:val="0"/>
          <w:bCs w:val="0"/>
          <w:sz w:val="30"/>
          <w:szCs w:val="30"/>
          <w:highlight w:val="none"/>
        </w:rPr>
      </w:pPr>
      <w:bookmarkStart w:id="2" w:name="_Toc31383"/>
      <w:r>
        <w:rPr>
          <w:rFonts w:ascii="黑体" w:eastAsia="黑体" w:hAnsi="黑体" w:hint="eastAsia"/>
          <w:sz w:val="30"/>
          <w:szCs w:val="30"/>
          <w:lang w:val="en-US" w:eastAsia="zh-CN"/>
        </w:rPr>
        <w:t xml:space="preserve">二、机构设置</w:t>
      </w:r>
      <w:bookmarkEnd w:id="2"/>
    </w:p>
    <w:p>
      <w:pPr>
        <w:divId w:val="0"/>
        <w:spacing w:line="600" w:lineRule="exact"/>
        <w:ind w:firstLine="600"/>
        <w:rPr>
          <w:rFonts w:eastAsia="方正仿宋_GB2312" w:hint="eastAsia"/>
          <w:sz w:val="30"/>
          <w:szCs w:val="30"/>
          <w:highlight w:val="none"/>
          <w:lang w:val="en-US" w:eastAsia="zh-CN"/>
        </w:rPr>
      </w:pPr>
      <w:r>
        <w:rPr>
          <w:rFonts w:eastAsia="仿宋_GB2312" w:hint="eastAsia"/>
          <w:sz w:val="30"/>
          <w:szCs w:val="30"/>
          <w:highlight w:val="none"/>
          <w:lang w:val="en-US" w:eastAsia="zh-CN"/>
        </w:rPr>
        <w:t xml:space="preserve">纳</w:t>
      </w:r>
      <w:r>
        <w:rPr>
          <w:rFonts w:eastAsia="仿宋_GB2312" w:hint="eastAsia"/>
          <w:sz w:val="30"/>
          <w:szCs w:val="30"/>
          <w:highlight w:val="none"/>
          <w:lang w:val="en-US" w:eastAsia="zh-CN"/>
        </w:rPr>
        <w:t xml:space="preserve">入</w:t>
      </w:r>
      <w:r>
        <w:rPr>
          <w:rFonts w:eastAsia="仿宋_GB2312" w:hint="eastAsia"/>
          <w:sz w:val="30"/>
          <w:szCs w:val="30"/>
          <w:highlight w:val="none"/>
          <w:lang w:val="en-US" w:eastAsia="zh-CN"/>
        </w:rPr>
        <w:t xml:space="preserve">天津市疾病预防控制中心</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年度单位决算编制范围的单位包括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天津市疾病预防控制中心内设21个职能处室，包括党委办公室、办公室（审计处）、人事科教处、财务处、后勤保障处、安全保卫处（武装部）、纪委办公室、突发公共卫生事件应急办公室、环境健康与学校卫生研究所、微生物检验检测所、业务与质量控制所、传染病预防控制所、非传染性疾病预防控制所、性病艾滋病预防控制所、免疫规划所、消毒与病媒生物预防控制所、职业健康研究所、食品安全研究所、卫生检验检测所、信息情报研究所、预防医学杂志社。</w:t>
      </w:r>
    </w:p>
    <w:p>
      <w:pPr>
        <w:divId w:val="0"/>
        <w:spacing w:line="600" w:lineRule="exact"/>
        <w:rPr>
          <w:rFonts w:eastAsia="方正楷体_GB2312" w:hint="eastAsia"/>
          <w:b/>
          <w:sz w:val="30"/>
          <w:szCs w:val="30"/>
          <w:highlight w:val="none"/>
        </w:rPr>
      </w:pPr>
      <w:r>
        <w:rPr>
          <w:rFonts w:eastAsia="方正楷体_GB2312"/>
          <w:b/>
          <w:sz w:val="30"/>
          <w:szCs w:val="30"/>
          <w:highlight w:val="none"/>
        </w:rPr>
        <w:br w:type="page"/>
      </w: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bookmarkStart w:id="3" w:name="_Toc24540"/>
      <w:r>
        <w:rPr>
          <w:rFonts w:ascii="方正小标宋简体" w:eastAsia="方正小标宋简体" w:hAnsi="方正小标宋简体" w:cs="方正小标宋简体" w:hint="eastAsia"/>
          <w:b w:val="0"/>
          <w:bCs w:val="0"/>
          <w:lang w:val="en-US" w:eastAsia="zh-CN"/>
        </w:rPr>
        <w:t xml:space="preserve">第二部分  2025年度单位决算表</w:t>
      </w:r>
      <w:bookmarkEnd w:id="3"/>
    </w:p>
    <w:p>
      <w:pPr>
        <w:pStyle w:val="标题1"/>
        <w:wordWrap w:val="0"/>
        <w:spacing w:before="0" w:after="0" w:line="600" w:lineRule="exact"/>
        <w:jc w:val="left"/>
        <w:rPr>
          <w:rFonts w:ascii="黑体" w:eastAsia="黑体" w:hAnsi="黑体" w:hint="eastAsia"/>
          <w:sz w:val="30"/>
          <w:szCs w:val="30"/>
          <w:lang w:val="en-US" w:eastAsia="zh-CN"/>
        </w:rPr>
      </w:pPr>
      <w:r>
        <w:rPr>
          <w:rFonts w:ascii="方正小标宋简体" w:eastAsia="方正小标宋简体" w:hAnsi="方正小标宋简体" w:cs="方正小标宋简体" w:hint="eastAsia"/>
          <w:b w:val="0"/>
          <w:bCs w:val="0"/>
          <w:lang w:val="en-US" w:eastAsia="zh-CN"/>
        </w:rPr>
        <w:br w:type="page"/>
      </w:r>
      <w:bookmarkStart w:id="4" w:name="_Toc23540"/>
      <w:r>
        <w:rPr>
          <w:rFonts w:ascii="黑体" w:eastAsia="黑体" w:hAnsi="黑体" w:hint="eastAsia"/>
          <w:sz w:val="30"/>
          <w:szCs w:val="30"/>
          <w:lang w:val="en-US" w:eastAsia="zh-CN"/>
        </w:rPr>
        <w:t xml:space="preserve">一、《收入支出决算总表》</w:t>
      </w:r>
      <w:bookmarkEnd w:id="4"/>
    </w:p>
    <w:tbl>
      <w:tblPr>
        <w:tblStyle w:val="普通表格"/>
        <w:tblW w:w="97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3351"/>
        <w:gridCol w:w="1632"/>
        <w:gridCol w:w="3180"/>
        <w:gridCol w:w="1632"/>
      </w:tblGrid>
      <w:tr>
        <w:tblPrEx>
          <w:tblW w:w="97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exact" w:val="397"/>
          <w:jc w:val="center"/>
        </w:trPr>
        <w:tc>
          <w:tcPr>
            <w:tcW w:w="1701" w:type="dxa"/>
            <w:gridSpan w:val="2"/>
            <w:tcBorders>
              <w:top w:val="nil"/>
              <w:left w:val="nil"/>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天津市疾病预防控制中心</w:t>
            </w:r>
          </w:p>
        </w:tc>
        <w:tc>
          <w:tcPr>
            <w:tcW w:w="1701" w:type="dxa"/>
            <w:gridSpan w:val="2"/>
            <w:tcBorders>
              <w:top w:val="nil"/>
              <w:left w:val="nil"/>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righ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9795" w:type="dxa"/>
          <w:jc w:val="center"/>
          <w:tblLayout w:type="fixed"/>
          <w:tblCellMar>
            <w:top w:w="0" w:type="dxa"/>
            <w:left w:w="108" w:type="dxa"/>
            <w:bottom w:w="0" w:type="dxa"/>
            <w:right w:w="108" w:type="dxa"/>
          </w:tblCellMar>
          <w:tblLook w:val="0000"/>
        </w:tblPrEx>
        <w:trPr>
          <w:trHeight w:hRule="exact" w:val="397"/>
          <w:jc w:val="center"/>
        </w:trPr>
        <w:tc>
          <w:tcPr>
            <w:tcW w:w="1701" w:type="dxa"/>
            <w:gridSpan w:val="2"/>
            <w:tcBorders>
              <w:top w:val="single" w:sz="4" w:space="0" w:color="000000"/>
              <w:left w:val="single" w:sz="4" w:space="0" w:color="000000"/>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w:t>
            </w:r>
          </w:p>
        </w:tc>
        <w:tc>
          <w:tcPr>
            <w:tcW w:w="1701" w:type="dxa"/>
            <w:gridSpan w:val="2"/>
            <w:tcBorders>
              <w:top w:val="single" w:sz="4" w:space="0" w:color="000000"/>
              <w:left w:val="nil"/>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w:t>
            </w:r>
          </w:p>
        </w:tc>
      </w:tr>
      <w:tr>
        <w:tblPrEx>
          <w:tblW w:w="9795" w:type="dxa"/>
          <w:jc w:val="center"/>
          <w:tblLayout w:type="fixed"/>
          <w:tblCellMar>
            <w:top w:w="0" w:type="dxa"/>
            <w:left w:w="108" w:type="dxa"/>
            <w:bottom w:w="0" w:type="dxa"/>
            <w:right w:w="108" w:type="dxa"/>
          </w:tblCellMar>
          <w:tblLook w:val="0000"/>
        </w:tblPrEx>
        <w:trPr>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一、一般公共预算财政拨款收入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tabs>
                <w:tab w:val="left" w:pos="1920"/>
              </w:tabs>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244753251.92</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一、一般公共服务支出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二、政府性基金预算财政拨款收入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二、公共安全支出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三、国有资本经营预算财政拨款收入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三、教育支出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68"/>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四、财政专户管理资金</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四、科学技术支出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6225.00</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五、事业收入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24428326.09</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五、文化旅游体育与传媒支出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六、事业单位经营收入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六、社会保障和就业支出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10196053.52</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七、上级补助收入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七、卫生健康支出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259276753.31</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八、附属单位上缴收入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八、节能环保支出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九、其他收入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406385.80</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九、城乡社区支出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十、农林水支出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十一、交通运输支出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十二、资源勘探工业信息等支出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十三、商业服务业等支出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十四、金融支出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十五、援助其他地区支出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十六、自然资源海洋气象等支出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十七、住房保障支出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十八、粮油物资储备支出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十九、国有资本经营预算支出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二十、灾害防治及应急管理支出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hAnsi="Times New Roman" w:cs="Times New Roman" w:hint="default"/>
                <w:i w:val="0"/>
                <w:iCs w:val="0"/>
                <w:color w:val="000000"/>
                <w:kern w:val="0.0"/>
                <w:sz w:val="20"/>
                <w:szCs w:val="20"/>
                <w:u w:val="none"/>
                <w:lang w:val="en-US" w:eastAsia="zh-CN"/>
              </w:rPr>
              <w:t xml:space="preserve">  </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二十一、其他支出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二十二、债务付息支出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811200.00</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二十三、抗疫特别国债安排的支出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本年收入合计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269587963.81</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本年支出合计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270290231.83</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w w:val="90"/>
                <w:kern w:val="0.0"/>
                <w:sz w:val="20"/>
                <w:szCs w:val="20"/>
                <w:u w:val="none"/>
                <w:lang w:val="en-US" w:eastAsia="zh-CN"/>
              </w:rPr>
              <w:t xml:space="preserve">十、使用非财政拨款结余</w:t>
            </w:r>
            <w:r>
              <w:rPr>
                <w:rFonts w:ascii="宋体" w:hAnsi="宋体" w:cs="宋体" w:hint="eastAsia"/>
                <w:i w:val="0"/>
                <w:iCs w:val="0"/>
                <w:color w:val="000000"/>
                <w:w w:val="90"/>
                <w:kern w:val="0.0"/>
                <w:sz w:val="20"/>
                <w:szCs w:val="20"/>
                <w:u w:val="none"/>
                <w:lang w:val="en-US" w:eastAsia="zh-CN"/>
              </w:rPr>
              <w:t xml:space="preserve">（含专用结余）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二十四、结余分配</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106190.68</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十一、年初结转和结余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5041172.57</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二十五、年末结转和结余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4232713.87</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其中：财政拨款结转和结余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right"/>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600" w:leftChars="0" w:rightChars="0" w:firstLineChars="30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其他结转和结余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5041172.57</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right"/>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收入总计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274629136.38</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支出总计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274629136.38</w:t>
            </w:r>
          </w:p>
        </w:tc>
      </w:tr>
      <w:tr>
        <w:tblPrEx>
          <w:tblW w:w="9795" w:type="dxa"/>
          <w:jc w:val="center"/>
          <w:tblLayout w:type="fixed"/>
          <w:tblCellMar>
            <w:top w:w="0" w:type="dxa"/>
            <w:left w:w="108" w:type="dxa"/>
            <w:bottom w:w="0" w:type="dxa"/>
            <w:right w:w="108" w:type="dxa"/>
          </w:tblCellMar>
          <w:tblLook w:val="0000"/>
        </w:tblPrEx>
        <w:trPr>
          <w:trHeight w:val="315"/>
          <w:jc w:val="center"/>
        </w:trPr>
        <w:tc>
          <w:tcPr>
            <w:tcW w:w="1701" w:type="dxa"/>
            <w:gridSpan w:val="4"/>
            <w:tcBorders>
              <w:top w:val="nil"/>
              <w:left w:val="nil"/>
              <w:bottom w:val="nil"/>
              <w:right w:val="nil"/>
            </w:tcBorders>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注：本表反映本年度的总收支和年末结转结余情况。财政专户管理资金是指教育收费；事业收入不含教育收费。</w:t>
            </w:r>
          </w:p>
        </w:tc>
      </w:tr>
    </w:tbl>
    <w:p>
      <w:pPr>
        <w:rPr>
          <w:rFonts w:hint="eastAsia"/>
          <w:lang w:val="en-US" w:eastAsia="zh-CN"/>
        </w:rPr>
        <w:sectPr>
          <w:footerReference w:type="default" r:id="rId5"/>
          <w:type w:val="nextPage"/>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charSpace="0"/>
        </w:sectPr>
      </w:pPr>
    </w:p>
    <w:p>
      <w:pPr>
        <w:pStyle w:val="标题2"/>
        <w:wordWrap w:val="0"/>
        <w:spacing w:before="0" w:after="0" w:line="800" w:lineRule="exact"/>
        <w:ind w:firstLine="600" w:firstLineChars="200"/>
        <w:rPr>
          <w:rFonts w:ascii="黑体" w:eastAsia="黑体" w:hAnsi="黑体" w:hint="eastAsia"/>
          <w:sz w:val="30"/>
          <w:szCs w:val="30"/>
          <w:lang w:val="en-US" w:eastAsia="zh-CN"/>
        </w:rPr>
      </w:pPr>
      <w:bookmarkStart w:id="5" w:name="_Toc8357"/>
      <w:r>
        <w:rPr>
          <w:rFonts w:ascii="黑体" w:eastAsia="黑体" w:hAnsi="黑体" w:hint="eastAsia"/>
          <w:sz w:val="30"/>
          <w:szCs w:val="30"/>
          <w:lang w:val="en-US" w:eastAsia="zh-CN"/>
        </w:rPr>
        <w:t xml:space="preserve">二、《收入决算表（按功能分类列示）》</w:t>
      </w:r>
      <w:bookmarkEnd w:id="5"/>
    </w:p>
    <w:tbl>
      <w:tblPr>
        <w:tblStyle w:val="普通表格"/>
        <w:tblW w:w="162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23"/>
        <w:gridCol w:w="2184"/>
        <w:gridCol w:w="1824"/>
        <w:gridCol w:w="1737"/>
        <w:gridCol w:w="1503"/>
        <w:gridCol w:w="1680"/>
        <w:gridCol w:w="1656"/>
        <w:gridCol w:w="1572"/>
        <w:gridCol w:w="1524"/>
        <w:gridCol w:w="1587"/>
      </w:tblGrid>
      <w:tr>
        <w:tblPrEx>
          <w:tblW w:w="162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tblHeader/>
          <w:jc w:val="center"/>
        </w:trPr>
        <w:tc>
          <w:tcPr>
            <w:tcW w:w="9951" w:type="dxa"/>
            <w:gridSpan w:val="6"/>
            <w:tcBorders>
              <w:top w:val="nil"/>
              <w:left w:val="nil"/>
              <w:bottom w:val="single" w:sz="4" w:space="0" w:color="auto"/>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4"/>
                <w:szCs w:val="24"/>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天津市疾病预防控制中心</w:t>
            </w:r>
          </w:p>
        </w:tc>
        <w:tc>
          <w:tcPr>
            <w:tcW w:w="1656" w:type="dxa"/>
            <w:tcBorders>
              <w:top w:val="nil"/>
              <w:left w:val="nil"/>
              <w:bottom w:val="single" w:sz="4" w:space="0" w:color="auto"/>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4"/>
                <w:szCs w:val="24"/>
                <w:u w:val="none"/>
              </w:rPr>
            </w:pPr>
          </w:p>
        </w:tc>
        <w:tc>
          <w:tcPr>
            <w:tcW w:w="1572" w:type="dxa"/>
            <w:tcBorders>
              <w:top w:val="nil"/>
              <w:left w:val="nil"/>
              <w:bottom w:val="single" w:sz="4" w:space="0" w:color="auto"/>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4"/>
                <w:szCs w:val="24"/>
                <w:u w:val="none"/>
              </w:rPr>
            </w:pPr>
          </w:p>
        </w:tc>
        <w:tc>
          <w:tcPr>
            <w:tcW w:w="3111" w:type="dxa"/>
            <w:gridSpan w:val="2"/>
            <w:tcBorders>
              <w:top w:val="nil"/>
              <w:left w:val="nil"/>
              <w:bottom w:val="single" w:sz="4" w:space="0" w:color="auto"/>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2"/>
                <w:szCs w:val="22"/>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3207" w:type="dxa"/>
            <w:gridSpan w:val="2"/>
            <w:tcBorders>
              <w:top w:val="single" w:sz="4" w:space="0" w:color="auto"/>
              <w:left w:val="single" w:sz="4" w:space="0" w:color="auto"/>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1824"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本年收入合计</w:t>
            </w:r>
          </w:p>
        </w:tc>
        <w:tc>
          <w:tcPr>
            <w:tcW w:w="1737"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财政拨款收入</w:t>
            </w:r>
          </w:p>
        </w:tc>
        <w:tc>
          <w:tcPr>
            <w:tcW w:w="1503"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上级补助收入</w:t>
            </w:r>
          </w:p>
        </w:tc>
        <w:tc>
          <w:tcPr>
            <w:tcW w:w="3336" w:type="dxa"/>
            <w:gridSpan w:val="2"/>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事业收入</w:t>
            </w:r>
          </w:p>
        </w:tc>
        <w:tc>
          <w:tcPr>
            <w:tcW w:w="1572"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经营收入</w:t>
            </w:r>
          </w:p>
        </w:tc>
        <w:tc>
          <w:tcPr>
            <w:tcW w:w="1524"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附属单位上缴收入</w:t>
            </w:r>
          </w:p>
        </w:tc>
        <w:tc>
          <w:tcPr>
            <w:tcW w:w="1587" w:type="dxa"/>
            <w:vMerge w:val="restart"/>
            <w:tcBorders>
              <w:top w:val="single" w:sz="4" w:space="0" w:color="auto"/>
              <w:left w:val="single" w:sz="4" w:space="0" w:color="000000"/>
              <w:bottom w:val="single" w:sz="4" w:space="0" w:color="000000"/>
              <w:right w:val="single" w:sz="4" w:space="0" w:color="auto"/>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其他收入</w:t>
            </w: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1023" w:type="dxa"/>
            <w:vMerge w:val="restart"/>
            <w:tcBorders>
              <w:top w:val="single" w:sz="4" w:space="0" w:color="000000"/>
              <w:left w:val="single" w:sz="4" w:space="0" w:color="auto"/>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18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8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snapToGrid w:val="0"/>
              <w:jc w:val="center"/>
              <w:rPr>
                <w:rFonts w:ascii="宋体" w:eastAsia="宋体" w:hAnsi="宋体" w:cs="宋体" w:hint="eastAsia"/>
                <w:i w:val="0"/>
                <w:iCs w:val="0"/>
                <w:color w:val="000000"/>
                <w:sz w:val="20"/>
                <w:szCs w:val="20"/>
                <w:u w:val="none"/>
              </w:rPr>
            </w:pPr>
          </w:p>
        </w:tc>
        <w:tc>
          <w:tcPr>
            <w:tcW w:w="15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8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165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其中：教育收费</w:t>
            </w:r>
          </w:p>
        </w:tc>
        <w:tc>
          <w:tcPr>
            <w:tcW w:w="157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auto"/>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1023" w:type="dxa"/>
            <w:vMerge/>
            <w:tcBorders>
              <w:top w:val="single" w:sz="4" w:space="0" w:color="000000"/>
              <w:left w:val="single" w:sz="4" w:space="0" w:color="auto"/>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18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8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snapToGrid w:val="0"/>
              <w:jc w:val="center"/>
              <w:rPr>
                <w:rFonts w:ascii="宋体" w:eastAsia="宋体" w:hAnsi="宋体" w:cs="宋体" w:hint="eastAsia"/>
                <w:i w:val="0"/>
                <w:iCs w:val="0"/>
                <w:color w:val="000000"/>
                <w:sz w:val="20"/>
                <w:szCs w:val="20"/>
                <w:u w:val="none"/>
              </w:rPr>
            </w:pPr>
          </w:p>
        </w:tc>
        <w:tc>
          <w:tcPr>
            <w:tcW w:w="15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5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7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auto"/>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3207" w:type="dxa"/>
            <w:gridSpan w:val="2"/>
            <w:tcBorders>
              <w:top w:val="single" w:sz="4" w:space="0" w:color="000000"/>
              <w:left w:val="single" w:sz="4" w:space="0" w:color="auto"/>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8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269587963.81</w:t>
            </w:r>
          </w:p>
        </w:tc>
        <w:tc>
          <w:tcPr>
            <w:tcW w:w="173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244753251.92</w:t>
            </w:r>
          </w:p>
        </w:tc>
        <w:tc>
          <w:tcPr>
            <w:tcW w:w="150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24428326.09</w:t>
            </w:r>
          </w:p>
        </w:tc>
        <w:tc>
          <w:tcPr>
            <w:tcW w:w="165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000000"/>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406385.80</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206</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科学技术支出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6225.00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6225.00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20602</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基础研究</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6225.00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6225.00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2060203</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自然科学基金</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2725.00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2725.00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2060299</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其他基础研究支出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3500.00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3500.00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社会保障和就业支出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10196053.52</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10196053.52</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20801</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人力资源和社会保障管理事务</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100000.00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100000.00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2080116</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引进人才费用</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100000.00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100000.00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20805</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行政事业单位养老支出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9545138.12</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9545138.12</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2080505</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机关事业单位基本养老保险缴费支出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6150000.00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6150000.00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2080506</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机关事业单位职业年金缴费支出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3395138.12</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3395138.12</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20899</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其他社会保障和就业支出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550915.40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550915.40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2089999</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其他社会保障和就业支出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550915.40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550915.40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卫生健康支出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258574485.29</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233739773.40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24428326.09</w:t>
            </w: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406385.80</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21004</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公共卫生</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253015085.29</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228180373.40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24428326.09</w:t>
            </w: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406385.80</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2100401</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疾病预防控制机构</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198790423.06</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173955711.17</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24428326.09</w:t>
            </w: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406385.80</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2100408</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基本公共卫生服务</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10178658.24</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10178658.24</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2100409</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重大公共卫生服务</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44046003.99</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44046003.99</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21011</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行政事业单位医疗</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5559400.00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5559400.00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2101102</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事业单位医疗</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4092400.00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4092400.00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2101199</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其他行政事业单位医疗支出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1467000.00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1467000.00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232</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债务付息支出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811200.00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811200.00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23203</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地方政府一般债务付息支出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811200.00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811200.00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2320301</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地方政府一般债券付息支出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811200.00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811200.00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auto" w:val="0"/>
          <w:jc w:val="center"/>
        </w:trPr>
        <w:tc>
          <w:tcPr>
            <w:tcW w:w="16290" w:type="dxa"/>
            <w:gridSpan w:val="10"/>
            <w:tcBorders>
              <w:top w:val="single" w:sz="4" w:space="0" w:color="auto"/>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注：本表反映本年度取得的各项收入情况。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6" w:name="_Toc12692"/>
      <w:r>
        <w:rPr>
          <w:rFonts w:ascii="黑体" w:eastAsia="黑体" w:hAnsi="黑体" w:hint="eastAsia"/>
          <w:b/>
          <w:bCs/>
          <w:sz w:val="30"/>
          <w:szCs w:val="30"/>
          <w:lang w:val="en-US" w:eastAsia="zh-CN"/>
        </w:rPr>
        <w:t xml:space="preserve">三、《收入决算表（按单位列示）》</w:t>
      </w:r>
      <w:bookmarkEnd w:id="6"/>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733"/>
        <w:gridCol w:w="1405"/>
        <w:gridCol w:w="1344"/>
        <w:gridCol w:w="1153"/>
        <w:gridCol w:w="1285"/>
        <w:gridCol w:w="1285"/>
        <w:gridCol w:w="1285"/>
        <w:gridCol w:w="1285"/>
        <w:gridCol w:w="1285"/>
        <w:gridCol w:w="1285"/>
        <w:gridCol w:w="1285"/>
        <w:gridCol w:w="1329"/>
        <w:gridCol w:w="1329"/>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300"/>
          <w:jc w:val="center"/>
        </w:trPr>
        <w:tc>
          <w:tcPr>
            <w:tcW w:w="9775" w:type="dxa"/>
            <w:gridSpan w:val="8"/>
            <w:tcBorders>
              <w:top w:val="nil"/>
              <w:left w:val="nil"/>
              <w:bottom w:val="single" w:sz="4" w:space="0" w:color="000000"/>
              <w:right w:val="nil"/>
            </w:tcBorders>
            <w:noWrap w:val="1"/>
            <w:vAlign w:val="center"/>
          </w:tcPr>
          <w:p>
            <w:pPr>
              <w:divId w:val="0"/>
              <w:keepNext w:val="0"/>
              <w:keepLines w:val="0"/>
              <w:widowControl/>
              <w:suppressLineNumbers w:val="0"/>
              <w:jc w:val="left"/>
              <w:textAlignment w:val="center"/>
              <w:rPr>
                <w:rFonts w:ascii="宋体" w:eastAsia="宋体" w:hAnsi="宋体" w:cs="宋体" w:hint="eastAsia"/>
                <w:i w:val="0"/>
                <w:iCs w:val="0"/>
                <w:color w:val="000000"/>
                <w:sz w:val="16"/>
                <w:szCs w:val="16"/>
                <w:u w:val="none"/>
              </w:rPr>
            </w:pPr>
            <w:r>
              <w:rPr>
                <w:rFonts w:ascii="宋体" w:hAnsi="宋体" w:cs="宋体" w:hint="eastAsia"/>
                <w:i w:val="0"/>
                <w:iCs w:val="0"/>
                <w:color w:val="000000"/>
                <w:kern w:val="0.0"/>
                <w:sz w:val="16"/>
                <w:szCs w:val="16"/>
                <w:u w:val="none"/>
                <w:lang w:val="en-US" w:eastAsia="zh-CN"/>
              </w:rPr>
              <w:t xml:space="preserve">单位</w:t>
            </w:r>
            <w:r>
              <w:rPr>
                <w:rFonts w:ascii="宋体" w:eastAsia="宋体" w:hAnsi="宋体" w:cs="宋体" w:hint="eastAsia"/>
                <w:i w:val="0"/>
                <w:iCs w:val="0"/>
                <w:color w:val="000000"/>
                <w:kern w:val="0.0"/>
                <w:sz w:val="16"/>
                <w:szCs w:val="16"/>
                <w:u w:val="none"/>
                <w:lang w:val="en-US" w:eastAsia="zh-CN"/>
              </w:rPr>
              <w:t xml:space="preserve">：</w:t>
            </w:r>
            <w:r>
              <w:rPr>
                <w:rFonts w:ascii="宋体" w:eastAsia="宋体" w:hAnsi="宋体" w:cs="宋体" w:hint="eastAsia"/>
                <w:i w:val="0"/>
                <w:iCs w:val="0"/>
                <w:color w:val="000000"/>
                <w:kern w:val="0.0"/>
                <w:sz w:val="16"/>
                <w:szCs w:val="16"/>
                <w:u w:val="none"/>
                <w:lang w:val="en-US" w:eastAsia="zh-CN"/>
              </w:rPr>
              <w:t xml:space="preserve">天津市疾病预防控制中心</w:t>
            </w: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2658" w:type="dxa"/>
            <w:gridSpan w:val="2"/>
            <w:tcBorders>
              <w:top w:val="nil"/>
              <w:left w:val="nil"/>
              <w:bottom w:val="single" w:sz="4" w:space="0" w:color="000000"/>
              <w:right w:val="nil"/>
            </w:tcBorders>
            <w:noWrap w:val="1"/>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300"/>
          <w:jc w:val="center"/>
        </w:trPr>
        <w:tc>
          <w:tcPr>
            <w:tcW w:w="73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部门（单位）代码</w:t>
            </w:r>
          </w:p>
        </w:tc>
        <w:tc>
          <w:tcPr>
            <w:tcW w:w="140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部门（单位）名称</w:t>
            </w:r>
          </w:p>
        </w:tc>
        <w:tc>
          <w:tcPr>
            <w:tcW w:w="1344"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2806" w:type="dxa"/>
            <w:gridSpan w:val="10"/>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本年收入</w:t>
            </w:r>
          </w:p>
        </w:tc>
      </w:tr>
      <w:tr>
        <w:tblPrEx>
          <w:tblW w:w="16288" w:type="dxa"/>
          <w:jc w:val="center"/>
          <w:tblLayout w:type="fixed"/>
          <w:tblCellMar>
            <w:top w:w="0" w:type="dxa"/>
            <w:left w:w="108" w:type="dxa"/>
            <w:bottom w:w="0" w:type="dxa"/>
            <w:right w:w="108" w:type="dxa"/>
          </w:tblCellMar>
          <w:tblLook w:val="0000"/>
        </w:tblPrEx>
        <w:trPr>
          <w:trHeight w:val="300"/>
          <w:jc w:val="center"/>
        </w:trPr>
        <w:tc>
          <w:tcPr>
            <w:tcW w:w="73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40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44"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5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一般公共预算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政府性基金预算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国有资本经营预算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财政专户管理资金</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事业收入</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事业单位经营收入</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上级补助收入</w:t>
            </w:r>
          </w:p>
        </w:tc>
        <w:tc>
          <w:tcPr>
            <w:tcW w:w="132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附属单位上缴收入</w:t>
            </w:r>
          </w:p>
        </w:tc>
        <w:tc>
          <w:tcPr>
            <w:tcW w:w="132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其他收入</w:t>
            </w:r>
          </w:p>
        </w:tc>
      </w:tr>
      <w:tr>
        <w:tblPrEx>
          <w:tblW w:w="16288" w:type="dxa"/>
          <w:jc w:val="center"/>
          <w:tblLayout w:type="fixed"/>
          <w:tblCellMar>
            <w:top w:w="0" w:type="dxa"/>
            <w:left w:w="108" w:type="dxa"/>
            <w:bottom w:w="0" w:type="dxa"/>
            <w:right w:w="108" w:type="dxa"/>
          </w:tblCellMar>
          <w:tblLook w:val="0000"/>
        </w:tblPrEx>
        <w:trPr>
          <w:trHeight w:val="270"/>
          <w:jc w:val="center"/>
        </w:trPr>
        <w:tc>
          <w:tcPr>
            <w:tcW w:w="73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40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44"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5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29"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29"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r>
      <w:tr>
        <w:tblPrEx>
          <w:tblW w:w="16288" w:type="dxa"/>
          <w:jc w:val="center"/>
          <w:tblLayout w:type="fixed"/>
          <w:tblCellMar>
            <w:top w:w="0" w:type="dxa"/>
            <w:left w:w="108" w:type="dxa"/>
            <w:bottom w:w="0" w:type="dxa"/>
            <w:right w:w="108" w:type="dxa"/>
          </w:tblCellMar>
          <w:tblLook w:val="0000"/>
        </w:tblPrEx>
        <w:trPr>
          <w:trHeight w:val="782"/>
          <w:jc w:val="center"/>
        </w:trPr>
        <w:tc>
          <w:tcPr>
            <w:tcW w:w="2138"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34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274629136.38</w:t>
            </w:r>
          </w:p>
        </w:tc>
        <w:tc>
          <w:tcPr>
            <w:tcW w:w="11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269587963.81</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244753251.92</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24428326.09</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406385.80</w:t>
            </w:r>
          </w:p>
        </w:tc>
      </w:tr>
      <w:tr>
        <w:tblPrEx>
          <w:tblW w:w="16288" w:type="dxa"/>
          <w:jc w:val="center"/>
          <w:tblLayout w:type="fixed"/>
          <w:tblCellMar>
            <w:top w:w="0" w:type="dxa"/>
            <w:left w:w="108" w:type="dxa"/>
            <w:bottom w:w="0" w:type="dxa"/>
            <w:right w:w="108" w:type="dxa"/>
          </w:tblCellMar>
          <w:tblLook w:val="0000"/>
        </w:tblPrEx>
        <w:trPr>
          <w:trHeight w:val="283"/>
          <w:jc w:val="center"/>
        </w:trPr>
        <w:tc>
          <w:tcPr>
            <w:tcW w:w="73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369201</w:t>
            </w:r>
          </w:p>
        </w:tc>
        <w:tc>
          <w:tcPr>
            <w:tcW w:w="140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天津市疾病预防控制中心</w:t>
            </w:r>
          </w:p>
        </w:tc>
        <w:tc>
          <w:tcPr>
            <w:tcW w:w="134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274629136.38</w:t>
            </w:r>
          </w:p>
        </w:tc>
        <w:tc>
          <w:tcPr>
            <w:tcW w:w="11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269587963.81</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244753251.92</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24428326.09</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406385.80</w:t>
            </w:r>
          </w:p>
        </w:tc>
      </w:tr>
      <w:tr>
        <w:tblPrEx>
          <w:tblW w:w="16288" w:type="dxa"/>
          <w:jc w:val="center"/>
          <w:tblLayout w:type="fixed"/>
          <w:tblCellMar>
            <w:top w:w="0" w:type="dxa"/>
            <w:left w:w="108" w:type="dxa"/>
            <w:bottom w:w="0" w:type="dxa"/>
            <w:right w:w="108" w:type="dxa"/>
          </w:tblCellMar>
          <w:tblLook w:val="0000"/>
        </w:tblPrEx>
        <w:trPr>
          <w:trHeight w:val="270"/>
          <w:jc w:val="center"/>
        </w:trPr>
        <w:tc>
          <w:tcPr>
            <w:tcW w:w="16288" w:type="dxa"/>
            <w:gridSpan w:val="13"/>
            <w:tcBorders>
              <w:top w:val="single" w:sz="4" w:space="0" w:color="000000"/>
              <w:left w:val="nil"/>
              <w:bottom w:val="nil"/>
              <w:right w:val="nil"/>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注：本表反映本年度取得的各项收入情况。财政专户管理资金是指教育收费；事业收入不含教育收费。</w:t>
            </w:r>
          </w:p>
        </w:tc>
      </w:tr>
    </w:tbl>
    <w:p>
      <w:pPr>
        <w:pStyle w:val="标题2"/>
        <w:wordWrap w:val="0"/>
        <w:spacing w:before="0" w:after="0" w:line="240" w:lineRule="auto"/>
        <w:ind w:firstLine="0" w:firstLineChars="0"/>
        <w:rPr>
          <w:rFonts w:ascii="黑体" w:eastAsia="黑体" w:hAnsi="黑体" w:hint="eastAsia"/>
          <w:sz w:val="30"/>
          <w:szCs w:val="30"/>
          <w:lang w:val="en-US" w:eastAsia="zh-CN"/>
        </w:rPr>
      </w:pPr>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697"/>
        <w:gridCol w:w="1388"/>
        <w:gridCol w:w="1482"/>
        <w:gridCol w:w="1836"/>
        <w:gridCol w:w="1802"/>
        <w:gridCol w:w="1798"/>
        <w:gridCol w:w="1884"/>
        <w:gridCol w:w="1692"/>
        <w:gridCol w:w="1860"/>
        <w:gridCol w:w="1849"/>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9003" w:type="dxa"/>
            <w:gridSpan w:val="6"/>
            <w:tcBorders>
              <w:top w:val="nil"/>
              <w:left w:val="nil"/>
              <w:bottom w:val="single" w:sz="4" w:space="0" w:color="000000"/>
              <w:right w:val="nil"/>
            </w:tcBorders>
            <w:noWrap w:val="1"/>
            <w:vAlign w:val="center"/>
          </w:tcPr>
          <w:p>
            <w:pPr>
              <w:divId w:val="0"/>
              <w:snapToGrid w:val="0"/>
              <w:rPr>
                <w:rFonts w:ascii="宋体" w:eastAsia="宋体" w:hAnsi="宋体" w:cs="宋体" w:hint="eastAsia"/>
                <w:i w:val="0"/>
                <w:iCs w:val="0"/>
                <w:color w:val="000000"/>
                <w:sz w:val="16"/>
                <w:szCs w:val="16"/>
                <w:u w:val="none"/>
              </w:rPr>
            </w:pPr>
            <w:r>
              <w:rPr>
                <w:rFonts w:ascii="宋体" w:hAnsi="宋体" w:cs="宋体" w:hint="eastAsia"/>
                <w:i w:val="0"/>
                <w:iCs w:val="0"/>
                <w:color w:val="000000"/>
                <w:kern w:val="0.0"/>
                <w:sz w:val="16"/>
                <w:szCs w:val="16"/>
                <w:u w:val="none"/>
                <w:lang w:val="en-US" w:eastAsia="zh-CN"/>
              </w:rPr>
              <w:t xml:space="preserve">单位</w:t>
            </w:r>
            <w:r>
              <w:rPr>
                <w:rFonts w:ascii="宋体" w:eastAsia="宋体" w:hAnsi="宋体" w:cs="宋体" w:hint="eastAsia"/>
                <w:i w:val="0"/>
                <w:iCs w:val="0"/>
                <w:color w:val="000000"/>
                <w:kern w:val="0.0"/>
                <w:sz w:val="16"/>
                <w:szCs w:val="16"/>
                <w:u w:val="none"/>
                <w:lang w:val="en-US" w:eastAsia="zh-CN"/>
              </w:rPr>
              <w:t xml:space="preserve">：</w:t>
            </w:r>
            <w:r>
              <w:rPr>
                <w:rFonts w:ascii="宋体" w:eastAsia="宋体" w:hAnsi="宋体" w:cs="宋体" w:hint="eastAsia"/>
                <w:i w:val="0"/>
                <w:iCs w:val="0"/>
                <w:color w:val="000000"/>
                <w:kern w:val="0.0"/>
                <w:sz w:val="16"/>
                <w:szCs w:val="16"/>
                <w:u w:val="none"/>
                <w:lang w:val="en-US" w:eastAsia="zh-CN"/>
              </w:rPr>
              <w:t xml:space="preserve">天津市疾病预防控制中心</w:t>
            </w:r>
          </w:p>
        </w:tc>
        <w:tc>
          <w:tcPr>
            <w:tcW w:w="3576" w:type="dxa"/>
            <w:gridSpan w:val="2"/>
            <w:tcBorders>
              <w:top w:val="nil"/>
              <w:left w:val="nil"/>
              <w:bottom w:val="single" w:sz="4" w:space="0" w:color="000000"/>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16"/>
                <w:szCs w:val="16"/>
                <w:u w:val="none"/>
                <w:lang w:val="en-US" w:eastAsia="zh-CN"/>
              </w:rPr>
            </w:pPr>
          </w:p>
        </w:tc>
        <w:tc>
          <w:tcPr>
            <w:tcW w:w="3709" w:type="dxa"/>
            <w:gridSpan w:val="2"/>
            <w:tcBorders>
              <w:top w:val="nil"/>
              <w:left w:val="nil"/>
              <w:bottom w:val="single" w:sz="4" w:space="0" w:color="000000"/>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部门（单位）代码</w:t>
            </w:r>
          </w:p>
        </w:tc>
        <w:tc>
          <w:tcPr>
            <w:tcW w:w="1388"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部门（单位）名称</w:t>
            </w:r>
          </w:p>
        </w:tc>
        <w:tc>
          <w:tcPr>
            <w:tcW w:w="14203" w:type="dxa"/>
            <w:gridSpan w:val="8"/>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上年结转和结余</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38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482"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7320" w:type="dxa"/>
            <w:gridSpan w:val="4"/>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财政拨款结转结余</w:t>
            </w:r>
          </w:p>
        </w:tc>
        <w:tc>
          <w:tcPr>
            <w:tcW w:w="5401"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非财政拨款结转结余</w:t>
            </w:r>
          </w:p>
        </w:tc>
      </w:tr>
      <w:tr>
        <w:tblPrEx>
          <w:tblW w:w="16288" w:type="dxa"/>
          <w:jc w:val="center"/>
          <w:tblLayout w:type="fixed"/>
          <w:tblCellMar>
            <w:top w:w="0" w:type="dxa"/>
            <w:left w:w="108" w:type="dxa"/>
            <w:bottom w:w="0" w:type="dxa"/>
            <w:right w:w="108" w:type="dxa"/>
          </w:tblCellMar>
          <w:tblLook w:val="0000"/>
        </w:tblPrEx>
        <w:trPr>
          <w:cantSplit/>
          <w:trHeight w:hRule="auto" w:val="0"/>
          <w:jc w:val="center"/>
        </w:trPr>
        <w:tc>
          <w:tcPr>
            <w:tcW w:w="697"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38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482"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一般公共预算</w:t>
            </w: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政府性基金预算</w:t>
            </w: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国有资本经营预算</w:t>
            </w: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财政专户管理资金</w:t>
            </w: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单位资金</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085"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48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5041172.57</w:t>
            </w: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5041172.57</w:t>
            </w: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5041172.57</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369201</w:t>
            </w:r>
          </w:p>
        </w:tc>
        <w:tc>
          <w:tcPr>
            <w:tcW w:w="138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天津市疾病预防控制中心</w:t>
            </w:r>
          </w:p>
        </w:tc>
        <w:tc>
          <w:tcPr>
            <w:tcW w:w="148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5041172.57</w:t>
            </w: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5041172.57</w:t>
            </w: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5041172.57</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10"/>
            <w:tcBorders>
              <w:top w:val="single" w:sz="4" w:space="0" w:color="000000"/>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注：本表反映本年度取得的各项收入情况。财政专户管理资金是指教育收费；事业收入不含教育收费。</w:t>
            </w:r>
          </w:p>
        </w:tc>
      </w:tr>
    </w:tbl>
    <w:p>
      <w:pPr>
        <w:sectPr>
          <w:footerReference w:type="default" r:id="rId6"/>
          <w:pgSz w:w="16838" w:h="11906" w:orient="landscape"/>
          <w:pgMar w:top="1800" w:right="1440" w:bottom="1800" w:left="144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pPr>
    </w:p>
    <w:p>
      <w:pPr>
        <w:pStyle w:val="标题2"/>
        <w:wordWrap w:val="0"/>
        <w:spacing w:before="0" w:after="0" w:line="800" w:lineRule="exact"/>
        <w:ind w:firstLine="600" w:firstLineChars="200"/>
        <w:rPr>
          <w:rFonts w:ascii="黑体" w:eastAsia="黑体" w:hAnsi="黑体" w:hint="eastAsia"/>
          <w:sz w:val="30"/>
          <w:szCs w:val="30"/>
          <w:lang w:val="en-US" w:eastAsia="zh-CN"/>
        </w:rPr>
      </w:pPr>
      <w:bookmarkStart w:id="7" w:name="_Toc1008"/>
      <w:r>
        <w:rPr>
          <w:rFonts w:ascii="黑体" w:eastAsia="黑体" w:hAnsi="黑体" w:hint="eastAsia"/>
          <w:sz w:val="30"/>
          <w:szCs w:val="30"/>
          <w:lang w:val="en-US" w:eastAsia="zh-CN"/>
        </w:rPr>
        <w:t xml:space="preserve">四、《支出决算表》</w:t>
      </w:r>
      <w:bookmarkEnd w:id="7"/>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962"/>
        <w:gridCol w:w="3228"/>
        <w:gridCol w:w="1980"/>
        <w:gridCol w:w="1968"/>
        <w:gridCol w:w="2016"/>
        <w:gridCol w:w="2010"/>
        <w:gridCol w:w="2062"/>
        <w:gridCol w:w="2062"/>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138" w:type="dxa"/>
            <w:gridSpan w:val="4"/>
            <w:tcBorders>
              <w:top w:val="nil"/>
              <w:left w:val="nil"/>
              <w:bottom w:val="single" w:sz="4" w:space="0" w:color="000000"/>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2"/>
                <w:szCs w:val="22"/>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天津市疾病预防控制中心</w:t>
            </w:r>
          </w:p>
        </w:tc>
        <w:tc>
          <w:tcPr>
            <w:tcW w:w="2016" w:type="dxa"/>
            <w:tcBorders>
              <w:top w:val="nil"/>
              <w:left w:val="nil"/>
              <w:bottom w:val="single" w:sz="4" w:space="0" w:color="000000"/>
              <w:right w:val="nil"/>
            </w:tcBorders>
            <w:shd w:val="clear" w:color="auto" w:fill="FFFFFF"/>
            <w:noWrap w:val="1"/>
            <w:vAlign w:val="center"/>
          </w:tcPr>
          <w:p>
            <w:pPr>
              <w:divId w:val="0"/>
              <w:snapToGrid w:val="0"/>
              <w:jc w:val="center"/>
              <w:rPr>
                <w:rFonts w:ascii="宋体" w:eastAsia="宋体" w:hAnsi="宋体" w:cs="宋体" w:hint="eastAsia"/>
                <w:i w:val="0"/>
                <w:iCs w:val="0"/>
                <w:color w:val="000000"/>
                <w:sz w:val="22"/>
                <w:szCs w:val="22"/>
                <w:u w:val="none"/>
              </w:rPr>
            </w:pPr>
          </w:p>
        </w:tc>
        <w:tc>
          <w:tcPr>
            <w:tcW w:w="2010" w:type="dxa"/>
            <w:tcBorders>
              <w:top w:val="nil"/>
              <w:left w:val="nil"/>
              <w:bottom w:val="single" w:sz="4" w:space="0" w:color="000000"/>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2"/>
                <w:szCs w:val="22"/>
                <w:u w:val="none"/>
              </w:rPr>
            </w:pPr>
          </w:p>
        </w:tc>
        <w:tc>
          <w:tcPr>
            <w:tcW w:w="2062" w:type="dxa"/>
            <w:tcBorders>
              <w:top w:val="nil"/>
              <w:left w:val="nil"/>
              <w:bottom w:val="single" w:sz="4" w:space="0" w:color="000000"/>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2"/>
                <w:szCs w:val="22"/>
                <w:u w:val="none"/>
              </w:rPr>
            </w:pPr>
          </w:p>
        </w:tc>
        <w:tc>
          <w:tcPr>
            <w:tcW w:w="2062" w:type="dxa"/>
            <w:tcBorders>
              <w:top w:val="nil"/>
              <w:left w:val="nil"/>
              <w:bottom w:val="single" w:sz="4" w:space="0" w:color="000000"/>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2"/>
                <w:szCs w:val="22"/>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19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支出功能分类科目</w:t>
            </w:r>
          </w:p>
        </w:tc>
        <w:tc>
          <w:tcPr>
            <w:tcW w:w="198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本年支出合计</w:t>
            </w:r>
          </w:p>
        </w:tc>
        <w:tc>
          <w:tcPr>
            <w:tcW w:w="196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基本支出</w:t>
            </w:r>
          </w:p>
        </w:tc>
        <w:tc>
          <w:tcPr>
            <w:tcW w:w="201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201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上缴上级支出</w:t>
            </w:r>
          </w:p>
        </w:tc>
        <w:tc>
          <w:tcPr>
            <w:tcW w:w="20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经营支出</w:t>
            </w:r>
          </w:p>
        </w:tc>
        <w:tc>
          <w:tcPr>
            <w:tcW w:w="20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对附属单位补助支出</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9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322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9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12"/>
          <w:jc w:val="center"/>
        </w:trPr>
        <w:tc>
          <w:tcPr>
            <w:tcW w:w="9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32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190" w:type="dxa"/>
            <w:gridSpan w:val="2"/>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r>
              <w:rPr>
                <w:rFonts w:ascii="Times New Roman" w:eastAsia="宋体" w:hAnsi="Times New Roman" w:cs="Times New Roman" w:hint="default"/>
                <w:color w:val="000000"/>
                <w:kern w:val="0.0"/>
                <w:sz w:val="20"/>
                <w:szCs w:val="20"/>
                <w:lang w:val="en-US" w:eastAsia="zh-CN"/>
              </w:rPr>
              <w:t xml:space="preserve">270290231.83</w:t>
            </w:r>
          </w:p>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r>
              <w:rPr>
                <w:rFonts w:ascii="Times New Roman" w:eastAsia="宋体" w:hAnsi="Times New Roman" w:cs="Times New Roman" w:hint="default"/>
                <w:color w:val="000000"/>
                <w:kern w:val="0.0"/>
                <w:sz w:val="20"/>
                <w:szCs w:val="20"/>
                <w:lang w:val="en-US" w:eastAsia="zh-CN"/>
              </w:rPr>
              <w:t xml:space="preserve">127446487.33</w:t>
            </w:r>
          </w:p>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r>
              <w:rPr>
                <w:rFonts w:ascii="Times New Roman" w:eastAsia="宋体" w:hAnsi="Times New Roman" w:cs="Times New Roman" w:hint="default"/>
                <w:color w:val="000000"/>
                <w:kern w:val="0.0"/>
                <w:sz w:val="20"/>
                <w:szCs w:val="20"/>
                <w:lang w:val="en-US" w:eastAsia="zh-CN"/>
              </w:rPr>
              <w:t xml:space="preserve">142843744.50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206</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科学技术支出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6225.00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6225.00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20602</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基础研究</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6225.00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6225.00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2060203</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自然科学基金</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2725.00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2725.00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2060299</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其他基础研究支出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3500.00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3500.00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社会保障和就业支出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10196053.52</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9545138.12</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650915.40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20801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人力资源和社会保障管理事务</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100000.00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100000.00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2080116</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引进人才费用</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100000.00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100000.00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20805</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行政事业单位养老支出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9545138.12</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9545138.12</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2080505</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机关事业单位基本养老保险缴费支出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6150000.00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6150000.00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2080506</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机关事业单位职业年金缴费支出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3395138.12</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3395138.12</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20899</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其他社会保障和就业支出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550915.40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550915.40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2089999</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其他社会保障和就业支出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550915.40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550915.40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卫生健康支出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259276753.31</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117901349.21</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141375404.10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21004</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公共卫生</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253717353.31</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112341949.21</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141375404.10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2100401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疾病预防控制机构</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199492691.08</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112341949.21</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87150741.87</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2100408</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基本公共卫生服务</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10178658.24</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10178658.24</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2100409</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重大公共卫生服务</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44046003.99</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44046003.99</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21011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行政事业单位医疗</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5559400.00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5559400.00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2101102</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事业单位医疗</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4092400.00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4092400.00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2101199</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其他行政事业单位医疗支出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1467000.00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1467000.00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232</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债务付息支出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811200.00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811200.00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23203</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地方政府一般债务付息支出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811200.00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811200.00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2320301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地方政府一般债券付息支出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811200.00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811200.00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8"/>
            <w:tcBorders>
              <w:top w:val="single" w:sz="4" w:space="0" w:color="000000"/>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注：本表反映本年度各项支出情况。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8" w:name="_Toc22229"/>
      <w:r>
        <w:rPr>
          <w:rFonts w:ascii="黑体" w:eastAsia="黑体" w:hAnsi="黑体" w:hint="eastAsia"/>
          <w:sz w:val="30"/>
          <w:szCs w:val="30"/>
          <w:lang w:val="en-US" w:eastAsia="zh-CN"/>
        </w:rPr>
        <w:t xml:space="preserve">五、《财政拨款收入支出决算总表》</w:t>
      </w:r>
      <w:bookmarkEnd w:id="8"/>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3051"/>
        <w:gridCol w:w="2324"/>
        <w:gridCol w:w="2968"/>
        <w:gridCol w:w="2004"/>
        <w:gridCol w:w="1992"/>
        <w:gridCol w:w="1932"/>
        <w:gridCol w:w="201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343" w:type="dxa"/>
            <w:gridSpan w:val="3"/>
            <w:tcBorders>
              <w:top w:val="nil"/>
              <w:left w:val="nil"/>
              <w:bottom w:val="nil"/>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天津市疾病预防控制中心</w:t>
            </w:r>
          </w:p>
        </w:tc>
        <w:tc>
          <w:tcPr>
            <w:tcW w:w="2004" w:type="dxa"/>
            <w:tcBorders>
              <w:top w:val="nil"/>
              <w:left w:val="nil"/>
              <w:bottom w:val="nil"/>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992" w:type="dxa"/>
            <w:tcBorders>
              <w:top w:val="nil"/>
              <w:left w:val="nil"/>
              <w:bottom w:val="nil"/>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3949" w:type="dxa"/>
            <w:gridSpan w:val="2"/>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5375" w:type="dxa"/>
            <w:gridSpan w:val="2"/>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w:t>
            </w:r>
          </w:p>
        </w:tc>
        <w:tc>
          <w:tcPr>
            <w:tcW w:w="10913" w:type="dxa"/>
            <w:gridSpan w:val="5"/>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232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992"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一般公共预算财政拨款</w:t>
            </w:r>
          </w:p>
        </w:tc>
        <w:tc>
          <w:tcPr>
            <w:tcW w:w="1932"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政府性基金预算财政拨款</w:t>
            </w:r>
          </w:p>
        </w:tc>
        <w:tc>
          <w:tcPr>
            <w:tcW w:w="2017"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国有资本经营预算财政拨款</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244753251.92</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一、一般公共服务支出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二、政府性基金预算财政拨款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二、公共安全支出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三、国有资本经营预算财政拨款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三、教育支出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四、科学技术支出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6225.00</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6225.00</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五、文化旅游体育与传媒支出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六、社会保障和就业支出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10196053.52</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10196053.52</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七、卫生健康支出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233739773.40</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233739773.40</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八、节能环保支出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九、城乡社区支出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十、农林水支出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十一、交通运输支出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十二、资源勘探工业信息等支出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十三、商业服务业等支出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十四、金融支出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十五、援助其他地区支出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十六、自然资源海洋气象等支出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十七、住房保障支出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十八、粮油物资储备支出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十九、国有资本经营预算支出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二十、灾害防治及应急管理支出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二十一、其他支出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二十二、债务付息支出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811200.00</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811200.00</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二十三、抗疫特别国债安排的支出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本年收入合计</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244753251.92</w:t>
            </w: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本年支出合计</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244753251.92</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244753251.92</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年初财政拨款结转和结余</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年末财政拨款结转和结余</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spacing w:line="240" w:lineRule="auto"/>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一般公共预算财政拨款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ind w:left="0" w:firstLine="0" w:lef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政府性基金预算财政拨款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国有资本经营预算财政拨款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总计</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244753251.92</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总计</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244753251.92</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244753251.92</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7"/>
            <w:tcBorders>
              <w:top w:val="single" w:sz="4" w:space="0" w:color="000000"/>
              <w:left w:val="nil"/>
              <w:bottom w:val="nil"/>
              <w:right w:val="nil"/>
            </w:tcBorders>
            <w:shd w:val="clear" w:color="auto" w:fill="FFFFFF"/>
            <w:noWrap w:val="1"/>
            <w:vAlign w:val="center"/>
          </w:tcPr>
          <w:p>
            <w:pPr>
              <w:divId w:val="0"/>
              <w:keepNext w:val="0"/>
              <w:keepLines w:val="0"/>
              <w:widowControl/>
              <w:suppressLineNumbers w:val="0"/>
              <w:snapToGrid w:val="0"/>
              <w:jc w:val="left"/>
              <w:textAlignment w:val="center"/>
              <w:rPr>
                <w:rFonts w:ascii="等线" w:eastAsia="等线" w:hAnsi="等线" w:cs="等线"/>
                <w:b w:val="0"/>
                <w:bCs w:val="0"/>
                <w:i w:val="0"/>
                <w:iCs w:val="0"/>
                <w:color w:val="333333"/>
                <w:spacing w:val="0"/>
                <w:w w:val="100"/>
                <w:sz w:val="20"/>
                <w:szCs w:val="20"/>
                <w:vertAlign w:val="baseline"/>
              </w:rPr>
            </w:pPr>
            <w:r>
              <w:rPr>
                <w:rFonts w:ascii="宋体" w:eastAsia="宋体" w:hAnsi="宋体" w:cs="宋体" w:hint="eastAsia"/>
                <w:i w:val="0"/>
                <w:iCs w:val="0"/>
                <w:color w:val="000000"/>
                <w:sz w:val="20"/>
                <w:szCs w:val="20"/>
                <w:u w:val="none"/>
              </w:rPr>
              <w:t xml:space="preserve">注：本表反映本年度一般公共预算财政拨款、政府性基金预算财政拨款和国有资本经营预算财政拨款的总收支和年末结转结余情况。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9" w:name="_Toc13290"/>
      <w:r>
        <w:rPr>
          <w:rFonts w:ascii="黑体" w:eastAsia="黑体" w:hAnsi="黑体" w:hint="eastAsia"/>
          <w:sz w:val="30"/>
          <w:szCs w:val="30"/>
          <w:lang w:val="en-US" w:eastAsia="zh-CN"/>
        </w:rPr>
        <w:t xml:space="preserve">六、《一般公共预算财政拨款支出决算表》</w:t>
      </w:r>
      <w:bookmarkEnd w:id="9"/>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166"/>
        <w:gridCol w:w="2891"/>
        <w:gridCol w:w="2446"/>
        <w:gridCol w:w="2446"/>
        <w:gridCol w:w="2446"/>
        <w:gridCol w:w="2446"/>
        <w:gridCol w:w="244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13841" w:type="dxa"/>
            <w:gridSpan w:val="6"/>
            <w:tcBorders>
              <w:top w:val="nil"/>
              <w:left w:val="nil"/>
              <w:bottom w:val="nil"/>
              <w:right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Style w:val="font41"/>
                <w:lang w:val="en-US" w:eastAsia="zh-CN"/>
              </w:rPr>
              <w:t xml:space="preserve">天津市疾病预防控制中心</w:t>
            </w:r>
          </w:p>
        </w:tc>
        <w:tc>
          <w:tcPr>
            <w:tcW w:w="2447" w:type="dxa"/>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4057" w:type="dxa"/>
            <w:gridSpan w:val="2"/>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支出功能分类科目</w:t>
            </w:r>
          </w:p>
        </w:tc>
        <w:tc>
          <w:tcPr>
            <w:tcW w:w="2446" w:type="dxa"/>
            <w:vMerge w:val="restart"/>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合计</w:t>
            </w:r>
          </w:p>
        </w:tc>
        <w:tc>
          <w:tcPr>
            <w:tcW w:w="7338" w:type="dxa"/>
            <w:gridSpan w:val="3"/>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基本支</w:t>
            </w:r>
            <w:r>
              <w:rPr>
                <w:rFonts w:ascii="宋体" w:eastAsia="宋体" w:hAnsi="宋体" w:cs="宋体" w:hint="eastAsia"/>
                <w:i w:val="0"/>
                <w:iCs w:val="0"/>
                <w:color w:val="262626"/>
                <w:kern w:val="0.0"/>
                <w:sz w:val="22"/>
                <w:szCs w:val="22"/>
                <w:u w:val="none"/>
                <w:lang w:val="en-US" w:eastAsia="zh-CN"/>
              </w:rPr>
              <w:t xml:space="preserve">出</w:t>
            </w:r>
            <w:r>
              <w:rPr>
                <w:rFonts w:ascii="宋体" w:eastAsia="宋体" w:hAnsi="宋体" w:cs="宋体" w:hint="eastAsia"/>
                <w:i w:val="0"/>
                <w:iCs w:val="0"/>
                <w:color w:val="262626"/>
                <w:kern w:val="0.0"/>
                <w:sz w:val="22"/>
                <w:szCs w:val="22"/>
                <w:u w:val="none"/>
                <w:lang w:val="en-US" w:eastAsia="zh-CN"/>
              </w:rPr>
              <w:t xml:space="preserve">  </w:t>
            </w:r>
          </w:p>
        </w:tc>
        <w:tc>
          <w:tcPr>
            <w:tcW w:w="2447" w:type="dxa"/>
            <w:vMerge w:val="restart"/>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项目支出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6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科目编码</w:t>
            </w:r>
          </w:p>
        </w:tc>
        <w:tc>
          <w:tcPr>
            <w:tcW w:w="289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科目名称</w:t>
            </w:r>
          </w:p>
        </w:tc>
        <w:tc>
          <w:tcPr>
            <w:tcW w:w="2446" w:type="dxa"/>
            <w:vMerge/>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napToGrid w:val="0"/>
              <w:jc w:val="center"/>
              <w:rPr>
                <w:rFonts w:ascii="宋体" w:eastAsia="宋体" w:hAnsi="宋体" w:cs="宋体" w:hint="eastAsia"/>
                <w:i w:val="0"/>
                <w:iCs w:val="0"/>
                <w:color w:val="262626"/>
                <w:sz w:val="22"/>
                <w:szCs w:val="22"/>
                <w:u w:val="none"/>
              </w:rPr>
            </w:pP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小计</w:t>
            </w: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人员经费</w:t>
            </w: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公用经费</w:t>
            </w:r>
          </w:p>
        </w:tc>
        <w:tc>
          <w:tcPr>
            <w:tcW w:w="2447" w:type="dxa"/>
            <w:vMerge/>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napToGrid w:val="0"/>
              <w:jc w:val="center"/>
              <w:rPr>
                <w:rFonts w:ascii="宋体" w:eastAsia="宋体" w:hAnsi="宋体" w:cs="宋体" w:hint="eastAsia"/>
                <w:i w:val="0"/>
                <w:iCs w:val="0"/>
                <w:color w:val="262626"/>
                <w:sz w:val="22"/>
                <w:szCs w:val="22"/>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057" w:type="dxa"/>
            <w:gridSpan w:val="2"/>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合计</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244753251.92</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106892038.12</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96958238.12</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9933800.00</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137861213.80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206</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科学技术支出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6225.00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6225.00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20602</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基础研究</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6225.00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6225.00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2060203</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自然科学基金</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2725.00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2725.00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2060299</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其他基础研究支出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3500.00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3500.00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20699</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其他科学技术支出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2069999</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其他科学技术支出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社会保障和就业支出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10196053.52</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9545138.12</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9545138.12</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650915.40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20801</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人力资源和社会保障管理事务</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100000.00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100000.00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2080116</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引进人才费用</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100000.00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100000.00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20805</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行政事业单位养老支出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9545138.12</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9545138.12</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9545138.12</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2080505</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机关事业单位基本养老保险缴费支出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6150000.00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6150000.00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6150000.00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2080506</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机关事业单位职业年金缴费支出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3395138.12</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3395138.12</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3395138.12</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20899</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其他社会保障和就业支出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550915.40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550915.40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2089999</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其他社会保障和就业支出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550915.40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550915.40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卫生健康支出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233739773.40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97346900.00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87413100.00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9933800.00</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136392873.40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公共卫生</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228180373.40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91787500.00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81853700.00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9933800.00</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136392873.40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2100401</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疾病预防控制机构</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173955711.17</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91787500.00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81853700.00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9933800.00</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82168211.17</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2100408</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基本公共卫生服务</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10178658.24</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10178658.24</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2100409</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重大公共卫生服务</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44046003.99</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44046003.99</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21011</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行政事业单位医疗</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5559400.00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5559400.00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5559400.00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2101102</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事业单位医疗</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4092400.00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4092400.00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4092400.00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2101199</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其他行政事业单位医疗支出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1467000.00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1467000.00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1467000.00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债务付息支出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811200.00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811200.00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23203</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地方政府一般债务付息支出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811200.00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811200.00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2320301</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地方政府一般债券付息支出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811200.00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811200.00</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7"/>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注：本表反映本年度一般公共预算财政拨款支出情况。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0" w:name="_Toc16463"/>
      <w:r>
        <w:rPr>
          <w:rFonts w:ascii="黑体" w:eastAsia="黑体" w:hAnsi="黑体" w:hint="eastAsia"/>
          <w:sz w:val="30"/>
          <w:szCs w:val="30"/>
          <w:lang w:val="en-US" w:eastAsia="zh-CN"/>
        </w:rPr>
        <w:t xml:space="preserve">七、《一般公共预算财政拨款基本支出决算表》</w:t>
      </w:r>
      <w:bookmarkEnd w:id="10"/>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723"/>
        <w:gridCol w:w="2475"/>
        <w:gridCol w:w="2231"/>
        <w:gridCol w:w="754"/>
        <w:gridCol w:w="2444"/>
        <w:gridCol w:w="2231"/>
        <w:gridCol w:w="797"/>
        <w:gridCol w:w="2401"/>
        <w:gridCol w:w="2232"/>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627" w:type="dxa"/>
            <w:gridSpan w:val="5"/>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天津市疾病预防控制中心</w:t>
            </w:r>
          </w:p>
        </w:tc>
        <w:tc>
          <w:tcPr>
            <w:tcW w:w="2231"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797"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4633" w:type="dxa"/>
            <w:gridSpan w:val="2"/>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5429" w:type="dxa"/>
            <w:gridSpan w:val="3"/>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人员经费</w:t>
            </w:r>
          </w:p>
        </w:tc>
        <w:tc>
          <w:tcPr>
            <w:tcW w:w="10859" w:type="dxa"/>
            <w:gridSpan w:val="6"/>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公用经费</w:t>
            </w:r>
          </w:p>
        </w:tc>
      </w:tr>
      <w:tr>
        <w:tblPrEx>
          <w:tblW w:w="16288" w:type="dxa"/>
          <w:jc w:val="center"/>
          <w:tblLayout w:type="fixed"/>
          <w:tblCellMar>
            <w:top w:w="0" w:type="dxa"/>
            <w:left w:w="108" w:type="dxa"/>
            <w:bottom w:w="0" w:type="dxa"/>
            <w:right w:w="108" w:type="dxa"/>
          </w:tblCellMar>
          <w:tblLook w:val="0000"/>
        </w:tblPrEx>
        <w:trPr>
          <w:trHeight w:hRule="exact" w:val="850"/>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2"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工资福利支出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93835722.96</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商品和服务支出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9933800.00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30704</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国外债务发行费用</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基本工资</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21479772.20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办公费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48819.64</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310</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资本性支出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津贴补贴</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8929257.60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印刷费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房屋建筑物购建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奖金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手续费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602.00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办公设备购置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30106</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伙食补助费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366131.41</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专用设备购置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30107</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绩效工资</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25324826.06</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电费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1916345.63</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31005</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基础设施建设</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30108</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机关事业单位基本养老保险缴费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6150000.00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邮电费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79089.66</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31006</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大型修缮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职业年金缴费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3395138.12</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取暖费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900000.00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31007</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信息网络及软件购置更新</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30110</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职工基本医疗保险缴费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4056000.00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物业管理费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3021524.82</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31008</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物资储备</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公务员医疗补助缴费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差旅费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45000.00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土地补偿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其他社会保障缴费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356920.98</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因公出国（境）费用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31010</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安置补助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住房公积金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19216526.00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30213</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维</w:t>
            </w:r>
            <w:r>
              <w:rPr>
                <w:rFonts w:ascii="宋体" w:eastAsia="宋体" w:hAnsi="宋体" w:cs="宋体" w:hint="eastAsia"/>
                <w:i w:val="0"/>
                <w:iCs w:val="0"/>
                <w:color w:val="000000"/>
                <w:kern w:val="0.0"/>
                <w:sz w:val="20"/>
                <w:szCs w:val="20"/>
                <w:u w:val="none"/>
                <w:lang w:val="en-US" w:eastAsia="zh-CN"/>
              </w:rPr>
              <w:t xml:space="preserve">修</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护</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494000.00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地上附着物和青苗补偿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30114</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医疗费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513805.00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租赁费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拆迁补偿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30199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其他工资福利支出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4413477.00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会议费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公务用车购置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对个人和家庭的补助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3122515.16</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培训费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46000.00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其他交通工具购置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离休费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238575.04</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公务接待费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10000.00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31021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文物和陈列品购置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退休费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1866747.62</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专用材料费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151867.19</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31022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无形资产购置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退职（役）费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被装购置费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其他资本性支出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30304</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抚恤金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专用燃料费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312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对企业补助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30305</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生活补助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1597.50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劳务费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68400.00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资本金注入</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30306</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救济费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委托业务费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125000.00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政府投资基金股权投资</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30307</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医疗费补助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989595.00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工会经费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782000.00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31204</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费用补贴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30308</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助学金</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福利费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300000.00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31205</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利息补贴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奖励金</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30231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公务用车运行维护费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31206</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其他资本性补助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30310</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个人农业生产补贴</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30239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其他交通费用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145573.65</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其他对企业补助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30311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代缴社会保险费</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30240</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税金及附加费用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其他支出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30399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其他对个人和家庭的补助</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26000.00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30299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其他商品和服务支出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1433446.00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39907</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国家赔偿费用支出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307</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债务利息及费用支出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39908</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对民间非营利组织和群众性自治组织补贴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30701</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国内债务付息</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39909</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经常性赠与</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30702</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国外债务付息</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39910</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资本性赠与</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30703</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国内债务发行费用</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39999</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其他支出</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198" w:type="dxa"/>
            <w:gridSpan w:val="2"/>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人员经费合计</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b/>
                <w:bCs/>
                <w:i w:val="0"/>
                <w:iCs w:val="0"/>
                <w:color w:val="000000"/>
                <w:sz w:val="20"/>
                <w:szCs w:val="20"/>
                <w:u w:val="none"/>
              </w:rPr>
            </w:pPr>
            <w:r>
              <w:rPr>
                <w:rFonts w:ascii="Times New Roman" w:eastAsia="宋体" w:hAnsi="Times New Roman" w:cs="Times New Roman" w:hint="default"/>
                <w:b/>
                <w:bCs/>
                <w:i w:val="0"/>
                <w:iCs w:val="0"/>
                <w:color w:val="000000"/>
                <w:kern w:val="0.0"/>
                <w:sz w:val="20"/>
                <w:szCs w:val="20"/>
                <w:u w:val="none"/>
                <w:lang w:val="en-US" w:eastAsia="zh-CN"/>
              </w:rPr>
              <w:t xml:space="preserve">96958238.12</w:t>
            </w:r>
          </w:p>
        </w:tc>
        <w:tc>
          <w:tcPr>
            <w:tcW w:w="8627" w:type="dxa"/>
            <w:gridSpan w:val="5"/>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公用经费合计</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b/>
                <w:bCs/>
                <w:i w:val="0"/>
                <w:iCs w:val="0"/>
                <w:color w:val="000000"/>
                <w:sz w:val="20"/>
                <w:szCs w:val="20"/>
                <w:u w:val="none"/>
              </w:rPr>
            </w:pPr>
            <w:r>
              <w:rPr>
                <w:rFonts w:ascii="Times New Roman" w:eastAsia="宋体" w:hAnsi="Times New Roman" w:cs="Times New Roman" w:hint="default"/>
                <w:b/>
                <w:bCs/>
                <w:i w:val="0"/>
                <w:iCs w:val="0"/>
                <w:color w:val="000000"/>
                <w:kern w:val="0.0"/>
                <w:sz w:val="20"/>
                <w:szCs w:val="20"/>
                <w:u w:val="none"/>
                <w:lang w:val="en-US" w:eastAsia="zh-CN"/>
              </w:rPr>
              <w:t xml:space="preserve">9933800.00</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9"/>
            <w:tcBorders>
              <w:top w:val="single" w:sz="4" w:space="0" w:color="000000"/>
              <w:left w:val="nil"/>
              <w:bottom w:val="nil"/>
              <w:right w:val="nil"/>
            </w:tcBorders>
            <w:noWrap w:val="1"/>
            <w:vAlign w:val="center"/>
          </w:tcPr>
          <w:p>
            <w:pPr>
              <w:pStyle w:val="普通(网站)"/>
              <w:keepNext w:val="0"/>
              <w:keepLines w:val="0"/>
              <w:widowControl/>
              <w:suppressLineNumbers w:val="0"/>
              <w:snapToGrid w:val="0"/>
              <w:spacing w:before="60" w:beforeAutospacing="0" w:after="60" w:afterAutospacing="0"/>
              <w:ind w:left="0" w:right="0" w:leftChars="0" w:rightChars="0"/>
              <w:jc w:val="left"/>
              <w:rPr>
                <w:rFonts w:ascii="宋体" w:eastAsia="宋体" w:hAnsi="宋体" w:cs="宋体" w:hint="eastAsia"/>
                <w:b/>
                <w:bCs/>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注：本表反映本年度一般公共预算财政拨款支出情况。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1" w:name="_Toc360"/>
      <w:r>
        <w:rPr>
          <w:rFonts w:ascii="黑体" w:eastAsia="黑体" w:hAnsi="黑体" w:hint="eastAsia"/>
          <w:b/>
          <w:bCs/>
          <w:sz w:val="30"/>
          <w:szCs w:val="30"/>
          <w:lang w:val="en-US" w:eastAsia="zh-CN"/>
        </w:rPr>
        <w:t xml:space="preserve">八、《政府性基金预算财政拨款收入支出决算表》</w:t>
      </w:r>
      <w:bookmarkEnd w:id="11"/>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35"/>
        <w:gridCol w:w="2828"/>
        <w:gridCol w:w="2070"/>
        <w:gridCol w:w="2071"/>
        <w:gridCol w:w="2071"/>
        <w:gridCol w:w="2071"/>
        <w:gridCol w:w="2071"/>
        <w:gridCol w:w="2071"/>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567"/>
          <w:tblHeader/>
          <w:jc w:val="center"/>
        </w:trPr>
        <w:tc>
          <w:tcPr>
            <w:tcW w:w="10075" w:type="dxa"/>
            <w:gridSpan w:val="5"/>
            <w:tcBorders>
              <w:top w:val="nil"/>
              <w:left w:val="nil"/>
              <w:bottom w:val="nil"/>
              <w:right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天津市疾病预防控制中心</w:t>
            </w:r>
          </w:p>
        </w:tc>
        <w:tc>
          <w:tcPr>
            <w:tcW w:w="2071" w:type="dxa"/>
            <w:tcBorders>
              <w:top w:val="nil"/>
              <w:left w:val="nil"/>
              <w:bottom w:val="nil"/>
              <w:right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071" w:type="dxa"/>
            <w:tcBorders>
              <w:top w:val="nil"/>
              <w:left w:val="nil"/>
              <w:bottom w:val="nil"/>
              <w:right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071" w:type="dxa"/>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3863"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支出功能分类科目</w:t>
            </w:r>
          </w:p>
        </w:tc>
        <w:tc>
          <w:tcPr>
            <w:tcW w:w="2070"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年初结转和结余</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w:t>
            </w:r>
          </w:p>
        </w:tc>
        <w:tc>
          <w:tcPr>
            <w:tcW w:w="6213"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年末结转和结余</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828"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w:t>
            </w:r>
            <w:r>
              <w:rPr>
                <w:rFonts w:ascii="宋体" w:eastAsia="宋体" w:hAnsi="宋体" w:cs="宋体" w:hint="eastAsia"/>
                <w:i w:val="0"/>
                <w:iCs w:val="0"/>
                <w:color w:val="000000"/>
                <w:kern w:val="0.0"/>
                <w:sz w:val="20"/>
                <w:szCs w:val="20"/>
                <w:u w:val="none"/>
                <w:lang w:val="en-US" w:eastAsia="zh-CN"/>
              </w:rPr>
              <w:t xml:space="preserve">出</w:t>
            </w:r>
            <w:r>
              <w:rPr>
                <w:rFonts w:ascii="宋体" w:eastAsia="宋体" w:hAnsi="宋体" w:cs="宋体" w:hint="eastAsia"/>
                <w:i w:val="0"/>
                <w:iCs w:val="0"/>
                <w:color w:val="000000"/>
                <w:kern w:val="0.0"/>
                <w:sz w:val="20"/>
                <w:szCs w:val="20"/>
                <w:u w:val="none"/>
                <w:lang w:val="en-US" w:eastAsia="zh-CN"/>
              </w:rPr>
              <w:t xml:space="preserve">  </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82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82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tblHeader/>
          <w:jc w:val="center"/>
        </w:trPr>
        <w:tc>
          <w:tcPr>
            <w:tcW w:w="3863"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207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35"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p>
        </w:tc>
        <w:tc>
          <w:tcPr>
            <w:tcW w:w="28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p>
        </w:tc>
        <w:tc>
          <w:tcPr>
            <w:tcW w:w="2070"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注：本表反映本年度政府性基金预算财政拨款收入、支出及结转和结余情况。</w:t>
            </w:r>
          </w:p>
        </w:tc>
      </w:tr>
    </w:tbl>
    <w:p>
      <w:pPr>
        <w:divId w:val="0"/>
        <w:keepNext w:val="0"/>
        <w:keepLines w:val="0"/>
        <w:widowControl/>
        <w:suppressLineNumbers w:val="0"/>
        <w:snapToGrid w:val="0"/>
        <w:ind w:left="-960" w:firstLine="0" w:leftChars="-400" w:firstLineChars="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天津市疾病预防控制中心2025年度政府性基金预算财政拨款收入支出决算表为空表。</w:t>
      </w:r>
    </w:p>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2" w:name="_Toc22450"/>
      <w:r>
        <w:rPr>
          <w:rFonts w:ascii="黑体" w:eastAsia="黑体" w:hAnsi="黑体" w:hint="eastAsia"/>
          <w:b/>
          <w:bCs/>
          <w:sz w:val="30"/>
          <w:szCs w:val="30"/>
          <w:lang w:val="en-US" w:eastAsia="zh-CN"/>
        </w:rPr>
        <w:t xml:space="preserve">九、《国有资本经营预算财政拨款收入支出决算表》</w:t>
      </w:r>
      <w:bookmarkEnd w:id="12"/>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59"/>
        <w:gridCol w:w="4663"/>
        <w:gridCol w:w="1761"/>
        <w:gridCol w:w="1761"/>
        <w:gridCol w:w="1761"/>
        <w:gridCol w:w="1761"/>
        <w:gridCol w:w="1761"/>
        <w:gridCol w:w="1761"/>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tblHeader/>
          <w:jc w:val="center"/>
        </w:trPr>
        <w:tc>
          <w:tcPr>
            <w:tcW w:w="9244" w:type="dxa"/>
            <w:gridSpan w:val="4"/>
            <w:tcBorders>
              <w:top w:val="nil"/>
              <w:left w:val="nil"/>
              <w:bottom w:val="nil"/>
              <w:right w:val="nil"/>
            </w:tcBorders>
            <w:noWrap w:val="1"/>
            <w:vAlign w:val="center"/>
          </w:tcPr>
          <w:p>
            <w:pPr>
              <w:divId w:val="0"/>
              <w:snapToGrid w:val="0"/>
              <w:jc w:val="left"/>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天津市疾病预防控制中心</w:t>
            </w: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5722"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Style w:val="font11"/>
                <w:sz w:val="20"/>
                <w:szCs w:val="20"/>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年初结转和结余</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w:t>
            </w:r>
          </w:p>
        </w:tc>
        <w:tc>
          <w:tcPr>
            <w:tcW w:w="5283"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年末结转和结余</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466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w:t>
            </w:r>
            <w:r>
              <w:rPr>
                <w:rFonts w:ascii="宋体" w:eastAsia="宋体" w:hAnsi="宋体" w:cs="宋体" w:hint="eastAsia"/>
                <w:i w:val="0"/>
                <w:iCs w:val="0"/>
                <w:color w:val="000000"/>
                <w:kern w:val="0.0"/>
                <w:sz w:val="20"/>
                <w:szCs w:val="20"/>
                <w:u w:val="none"/>
                <w:lang w:val="en-US" w:eastAsia="zh-CN"/>
              </w:rPr>
              <w:t xml:space="preserve">出</w:t>
            </w:r>
            <w:r>
              <w:rPr>
                <w:rFonts w:ascii="宋体" w:eastAsia="宋体" w:hAnsi="宋体" w:cs="宋体" w:hint="eastAsia"/>
                <w:i w:val="0"/>
                <w:iCs w:val="0"/>
                <w:color w:val="000000"/>
                <w:kern w:val="0.0"/>
                <w:sz w:val="20"/>
                <w:szCs w:val="20"/>
                <w:u w:val="none"/>
                <w:lang w:val="en-US" w:eastAsia="zh-CN"/>
              </w:rPr>
              <w:t xml:space="preserve">  </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4663"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4663"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tblHeader/>
          <w:jc w:val="center"/>
        </w:trPr>
        <w:tc>
          <w:tcPr>
            <w:tcW w:w="5722"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5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p>
        </w:tc>
        <w:tc>
          <w:tcPr>
            <w:tcW w:w="466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注：本表反映本年度国有资本</w:t>
            </w:r>
            <w:r>
              <w:rPr>
                <w:rFonts w:ascii="宋体" w:eastAsia="宋体" w:hAnsi="宋体" w:cs="宋体" w:hint="eastAsia"/>
                <w:b w:val="0"/>
                <w:bCs w:val="0"/>
                <w:i w:val="0"/>
                <w:iCs w:val="0"/>
                <w:color w:val="000000"/>
                <w:kern w:val="0.0"/>
                <w:sz w:val="20"/>
                <w:szCs w:val="20"/>
                <w:u w:val="none"/>
                <w:lang w:val="en-US" w:eastAsia="zh-CN"/>
              </w:rPr>
              <w:t xml:space="preserve">经营预算财政拨款收入、支</w:t>
            </w:r>
            <w:r>
              <w:rPr>
                <w:rFonts w:ascii="宋体" w:eastAsia="宋体" w:hAnsi="宋体" w:cs="宋体" w:hint="eastAsia"/>
                <w:i w:val="0"/>
                <w:iCs w:val="0"/>
                <w:color w:val="000000"/>
                <w:kern w:val="0.0"/>
                <w:sz w:val="20"/>
                <w:szCs w:val="20"/>
                <w:u w:val="none"/>
                <w:lang w:val="en-US" w:eastAsia="zh-CN"/>
              </w:rPr>
              <w:t xml:space="preserve">出及结转和结余情况。</w:t>
            </w:r>
          </w:p>
        </w:tc>
      </w:tr>
    </w:tbl>
    <w:p>
      <w:pPr>
        <w:divId w:val="0"/>
        <w:keepNext w:val="0"/>
        <w:keepLines w:val="0"/>
        <w:widowControl/>
        <w:suppressLineNumbers w:val="0"/>
        <w:snapToGrid w:val="0"/>
        <w:ind w:left="-960" w:firstLine="0" w:leftChars="-400" w:firstLineChars="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天津市疾病预防控制中心2025年度国有资本经营预算财政拨款收入支出决算表为空表。</w:t>
      </w:r>
    </w:p>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3" w:name="_Toc25280"/>
      <w:r>
        <w:rPr>
          <w:rFonts w:ascii="黑体" w:eastAsia="黑体" w:hAnsi="黑体" w:hint="eastAsia"/>
          <w:b/>
          <w:bCs/>
          <w:sz w:val="30"/>
          <w:szCs w:val="30"/>
          <w:lang w:val="en-US" w:eastAsia="zh-CN"/>
        </w:rPr>
        <w:t xml:space="preserve">十、《财政拨款“三公”经费支出决算表》</w:t>
      </w:r>
      <w:bookmarkEnd w:id="13"/>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2668"/>
        <w:gridCol w:w="3018"/>
        <w:gridCol w:w="2668"/>
        <w:gridCol w:w="2668"/>
        <w:gridCol w:w="2669"/>
        <w:gridCol w:w="259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9448" w:type="dxa"/>
            <w:gridSpan w:val="4"/>
            <w:tcBorders>
              <w:bottom w:val="single" w:sz="4" w:space="0" w:color="auto"/>
              <w:tl2br w:val="nil"/>
              <w:tr2bl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天津市疾病预防控制中心</w:t>
            </w:r>
          </w:p>
        </w:tc>
        <w:tc>
          <w:tcPr>
            <w:tcW w:w="2299" w:type="dxa"/>
            <w:tcBorders>
              <w:bottom w:val="single" w:sz="4" w:space="0" w:color="auto"/>
              <w:tl2br w:val="nil"/>
              <w:tr2bl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299" w:type="dxa"/>
            <w:tcBorders>
              <w:bottom w:val="single" w:sz="4" w:space="0" w:color="auto"/>
              <w:tl2br w:val="nil"/>
              <w:tr2bl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362"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2362"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因公出国（境）费</w:t>
            </w:r>
          </w:p>
        </w:tc>
        <w:tc>
          <w:tcPr>
            <w:tcW w:w="7087" w:type="dxa"/>
            <w:gridSpan w:val="3"/>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公务用车购置及运行维护费</w:t>
            </w:r>
          </w:p>
        </w:tc>
        <w:tc>
          <w:tcPr>
            <w:tcW w:w="2299"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公务接待费</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362"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c>
          <w:tcPr>
            <w:tcW w:w="2362"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c>
          <w:tcPr>
            <w:tcW w:w="236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236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购置费</w:t>
            </w: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运行维护费</w:t>
            </w:r>
          </w:p>
        </w:tc>
        <w:tc>
          <w:tcPr>
            <w:tcW w:w="2299"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2298"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10000.00</w:t>
            </w:r>
          </w:p>
        </w:tc>
        <w:tc>
          <w:tcPr>
            <w:tcW w:w="267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301"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10000.00</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4168" w:type="dxa"/>
            <w:gridSpan w:val="6"/>
            <w:tcBorders>
              <w:top w:val="single" w:sz="4" w:space="0" w:color="auto"/>
              <w:tl2br w:val="nil"/>
              <w:tr2bl w:val="nil"/>
            </w:tcBorders>
            <w:vAlign w:val="center"/>
          </w:tcPr>
          <w:p>
            <w:pPr>
              <w:divId w:val="0"/>
              <w:snapToGrid w:val="0"/>
              <w:jc w:val="left"/>
              <w:rPr>
                <w:rFonts w:ascii="等线" w:eastAsia="等线" w:hAnsi="等线" w:cs="等线"/>
                <w:b w:val="0"/>
                <w:bCs w:val="0"/>
                <w:i w:val="0"/>
                <w:iCs w:val="0"/>
                <w:color w:val="333333"/>
                <w:spacing w:val="0"/>
                <w:w w:val="100"/>
                <w:sz w:val="20"/>
                <w:szCs w:val="20"/>
                <w:vertAlign w:val="baseline"/>
              </w:rPr>
            </w:pPr>
            <w:r>
              <w:rPr>
                <w:rFonts w:ascii="宋体" w:eastAsia="宋体" w:hAnsi="宋体" w:cs="宋体" w:hint="eastAsia"/>
                <w:i w:val="0"/>
                <w:iCs w:val="0"/>
                <w:color w:val="000000"/>
                <w:kern w:val="0.0"/>
                <w:sz w:val="20"/>
                <w:szCs w:val="20"/>
                <w:u w:val="none"/>
                <w:lang w:val="en-US" w:eastAsia="zh-CN"/>
              </w:rPr>
              <w:t xml:space="preserve">注：本表反映本年度一般公共预算和政府性基金预</w:t>
            </w:r>
            <w:r>
              <w:rPr>
                <w:rFonts w:ascii="宋体" w:eastAsia="宋体" w:hAnsi="宋体" w:cs="宋体" w:hint="eastAsia"/>
                <w:i w:val="0"/>
                <w:iCs w:val="0"/>
                <w:color w:val="000000"/>
                <w:kern w:val="0.0"/>
                <w:sz w:val="20"/>
                <w:szCs w:val="20"/>
                <w:u w:val="none"/>
                <w:lang w:val="en-US" w:eastAsia="zh-CN"/>
              </w:rPr>
              <w:t xml:space="preserve">算</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三</w:t>
            </w:r>
            <w:r>
              <w:rPr>
                <w:rFonts w:ascii="宋体" w:eastAsia="宋体" w:hAnsi="宋体" w:cs="宋体" w:hint="eastAsia"/>
                <w:i w:val="0"/>
                <w:iCs w:val="0"/>
                <w:color w:val="000000"/>
                <w:kern w:val="0.0"/>
                <w:sz w:val="20"/>
                <w:szCs w:val="20"/>
                <w:u w:val="none"/>
                <w:lang w:val="en-US" w:eastAsia="zh-CN"/>
              </w:rPr>
              <w:t xml:space="preserve">公</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经费支出决算情况。</w:t>
            </w:r>
          </w:p>
        </w:tc>
      </w:tr>
    </w:tbl>
    <w:p>
      <w:pPr>
        <w:pStyle w:val="标题2"/>
        <w:wordWrap w:val="0"/>
        <w:spacing w:before="0" w:after="0" w:line="800" w:lineRule="exact"/>
        <w:ind w:firstLine="600" w:firstLineChars="200"/>
        <w:rPr>
          <w:rFonts w:ascii="黑体" w:eastAsia="黑体" w:hAnsi="黑体" w:hint="eastAsia"/>
          <w:b w:val="0"/>
          <w:sz w:val="30"/>
          <w:szCs w:val="30"/>
          <w:highlight w:val="none"/>
        </w:rPr>
      </w:pPr>
      <w:r>
        <w:rPr>
          <w:rFonts w:ascii="黑体" w:eastAsia="黑体" w:hAnsi="仿宋" w:hint="eastAsia"/>
          <w:sz w:val="21"/>
          <w:szCs w:val="21"/>
          <w:lang w:val="en-US" w:eastAsia="zh-CN"/>
        </w:rPr>
        <w:br w:type="page"/>
      </w:r>
      <w:bookmarkStart w:id="14" w:name="_Toc18372"/>
      <w:r>
        <w:rPr>
          <w:rFonts w:ascii="黑体" w:eastAsia="黑体" w:hAnsi="黑体" w:hint="eastAsia"/>
          <w:b/>
          <w:bCs/>
          <w:sz w:val="30"/>
          <w:szCs w:val="30"/>
          <w:lang w:val="en-US" w:eastAsia="zh-CN"/>
        </w:rPr>
        <w:t xml:space="preserve">十一、《项目支出决算表》</w:t>
      </w:r>
      <w:bookmarkEnd w:id="14"/>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131"/>
        <w:gridCol w:w="2838"/>
        <w:gridCol w:w="2053"/>
        <w:gridCol w:w="2053"/>
        <w:gridCol w:w="2053"/>
        <w:gridCol w:w="2053"/>
        <w:gridCol w:w="2053"/>
        <w:gridCol w:w="2054"/>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567"/>
          <w:jc w:val="center"/>
        </w:trPr>
        <w:tc>
          <w:tcPr>
            <w:tcW w:w="8075" w:type="dxa"/>
            <w:gridSpan w:val="4"/>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天津市疾病预防控制中心</w:t>
            </w:r>
          </w:p>
        </w:tc>
        <w:tc>
          <w:tcPr>
            <w:tcW w:w="2053"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2053"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4107" w:type="dxa"/>
            <w:gridSpan w:val="2"/>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31" w:type="dxa"/>
            <w:vMerge w:val="restart"/>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838" w:type="dxa"/>
            <w:vMerge w:val="restart"/>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2319" w:type="dxa"/>
            <w:gridSpan w:val="6"/>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年</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支</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31" w:type="dxa"/>
            <w:vMerge/>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center"/>
              <w:rPr>
                <w:rFonts w:ascii="宋体" w:eastAsia="宋体" w:hAnsi="宋体" w:cs="宋体" w:hint="eastAsia"/>
                <w:i w:val="0"/>
                <w:iCs w:val="0"/>
                <w:color w:val="000000"/>
                <w:sz w:val="20"/>
                <w:szCs w:val="20"/>
                <w:u w:val="none"/>
              </w:rPr>
            </w:pPr>
          </w:p>
        </w:tc>
        <w:tc>
          <w:tcPr>
            <w:tcW w:w="2838" w:type="dxa"/>
            <w:vMerge/>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center"/>
              <w:rPr>
                <w:rFonts w:ascii="宋体" w:eastAsia="宋体" w:hAnsi="宋体" w:cs="宋体" w:hint="eastAsia"/>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计</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一般公共</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政府性基金</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国有资本</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经营预算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财政专户</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管理资金</w:t>
            </w:r>
          </w:p>
        </w:tc>
        <w:tc>
          <w:tcPr>
            <w:tcW w:w="20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单位资金</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969"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计</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142843744.50</w:t>
            </w: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137861213.80</w:t>
            </w: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0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4982530.70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206</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科学技术支出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6225.00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6225.00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20602</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基础研究</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6225.00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6225.00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2060203</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自然科学基金</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2725.00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2725.00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2060203</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21年度天津科技项目</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2725.00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2725.00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2060299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其他基础研究支出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3500.00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3500.00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2060299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22年度天津科技项目</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3500.00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3500.00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社会保障和就业支出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650915.40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650915.40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人力资源和社会保障管理事务</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2080116</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引进人才费用</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2080116</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24第二批卫健高层次人才</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20899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其他社会保障和就业支出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550915.40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550915.40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2089999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其他社会保障和就业支出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550915.40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550915.40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2089999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25市级抚恤金</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550915.40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550915.40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卫生健康支出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141375404.10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136392873.40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4982530.70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公共卫生</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141375404.10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136392873.40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4982530.70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疾病预防控制机构</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87150741.87</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82168211.17</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4982530.70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24中央直达紧缺人才培训（职业病防治人才培训）</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131800.00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131800.00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24中央直达医疗服务与保障（第二批）-传染病监测预警与应急指挥能力提升</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1762338.20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1762338.20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24中央直达医疗服务与保障（第二批）-传染病实验室检测质量提升</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1300.00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1300.00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24中央直达医疗服务与保障（第二批）-监测预警队伍建设和人才培养</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33300.00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33300.00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24中央直达医疗服务与保障（第二批）-现场流行病学培训</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77700.00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77700.00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24中央直达医疗服务与保障-传染病监测预警与应急指挥能力提升</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7855500.00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7855500.00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24中央直达医疗服务与保障-监测预警队伍建设和人才培养</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279600.00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279600.00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24中央直达医疗服务与保障-现场流行病学培训</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677800.00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677800.00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25市级“高效办成一件事”信息系统升级改造</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102467.00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102467.00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25市级爱国卫生专项经费</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179641.20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179641.20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25市级传染病源检测等项目</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3603118.32</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3603118.32</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25市级国家食品安全实验室能力提升</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330000.00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330000.00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25市级疾病预防应急处置能力提升</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893677.00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893677.00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25市级实验室运行和安全生产</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1339998.00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1339998.00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25市级疫苗采购与配送服务</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16006000.00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16006000.00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25市级住院医师规范化培训</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120000.00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120000.00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25市疾控中心现代化疾病预防控制体系建设项目</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47016878.57</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47016878.57</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25中央服务与保障提升（第二批）-传染病四大症候群监测</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100955.00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100955.00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25中央服务与保障提升（第二批）-登革热防控能力提升</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8300.00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8300.00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25中央服务与保障提升（第二批）-职业病防治人才培训</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25000.00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25000.00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25中央服务与保障提升（第二批）-住院医师规范化培训</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25中央服务与保障提升-传染病监测预警与应急指挥能力提升</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22156.50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22156.50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25中央服务与保障提升-传染病实验室检测质量提升</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25中央服务与保障提升-传染病应急专业人才培训</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70000.00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70000.00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25中央服务与保障提升-监测预警队伍建设和人才培养</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485158.20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485158.20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25中央服务与保障提升-现场流行病学培训</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536442.38</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536442.38</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25中央服务与保障提升-职业病防治人才培训</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119430.80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119430.80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25中央服务与保障提升-住院医师规范化培训</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269650.00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269650.00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非财政科研项目</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1997360.98</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1997360.98</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非财政其他项目</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2985169.72</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2985169.72</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基本公共卫生服务</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10178658.24</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10178658.24</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25市级基本公卫-地方病防治</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822995.40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822995.40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25市级基本公卫-其他疾病预防控制</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1085150.00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1085150.00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25市级基本公卫-食品安全保障</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1049458.00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1049458.00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25市级基本公卫-卫生应急队伍建设</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3750018.01</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3750018.01</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25市级基本公卫-职业病防治</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3471036.83</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3471036.83</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重大公共卫生服务</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44046003.99</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44046003.99</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24中央重大传染病（第二批）-艾滋病防治</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633950.00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633950.00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24中央重大传染病（第二批）-本土变异监测</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494480.00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494480.00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24中央重大传染病（第二批）-病媒与登革热监测</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67293.00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67293.00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24中央重大传染病（第二批）-慢性病防治</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606073.80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606073.80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24中央重大传染病（第二批）-人禽、SARS等重点传染病监测</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24中央重大传染病（第二批）-细菌性传染病监测</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594300.00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594300.00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24中央重大传染病（第二批）-学生常见病监测</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24中央重大传染病（第二批）-饮用水和环境卫生监测</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98100.00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98100.00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24中央重大传染病-艾滋病防治</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21800.00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21800.00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24中央重大传染病-本土变异监测</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618248.00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618248.00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24中央重大传染病-病媒与登革热监测</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3762.00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3762.00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24中央重大传染病-慢病防治</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291689.00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291689.00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24中央重大传染病-免疫规划</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778476.04</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778476.04</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24中央重大传染病-能力提升</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1223000.00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1223000.00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24中央重大传染病-人禽、SARS等重点传染病监测</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12600.00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12600.00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24中央重大传染病-污水监测</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33692.50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33692.50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24中央重大传染病-细菌性传染病监测</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30600.00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30600.00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24中央重大传染病-学生常见病监测</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800.00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800.00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24中央重大传染病-饮用水和环境卫生监测</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48636.96</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48636.96</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24中央重大传染病-重点呼吸道传染病监测</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78142.81</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78142.81</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25中央重大公卫（第二批）-扩大免疫规划</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1180000.00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1180000.00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25中央重大公卫（第二批）-细菌性传染病监测</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94235.00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94235.00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25中央重大公卫-艾滋病防治</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2549044.96</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2549044.96</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25中央重大公卫-病媒生物和登革热监测</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69914.00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69914.00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25中央重大公卫-城市污水监测</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195081.46</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195081.46</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25中央重大公卫-癫痫防治</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8000.00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8000.00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25中央重大公卫-疾控能力提升</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6004698.00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6004698.00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25中央重大公卫-扩大免疫规划</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21484420.52</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21484420.52</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25中央重大公卫-慢性病防治</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772390.43</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772390.43</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25中央重大公卫-人禽等多项重点传染病监测</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1027489.64</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1027489.64</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25中央重大公卫-伤害监测</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12419.50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12419.50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25中央重大公卫-食品安全风险监测</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1382937.01</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1382937.01</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25中央重大公卫-食源性疾病监测</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306559.00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306559.00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25中央重大公卫-细菌性传染病监测</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463534.50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463534.50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25中央重大公卫-新冠变异监测</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906040.30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906040.30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25中央重大公卫-学生常见病监测</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127525.47</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127525.47</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25中央重大公卫-饮用水和环境卫生监测</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942493.46</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942493.46</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25中央重大公卫-重点呼吸道传染病监测</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823576.63</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823576.63</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债务付息支出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811200.00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811200.00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23203</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地方政府一般债务付息支出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811200.00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811200.00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2320301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地方政府一般债券付息支出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811200.00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811200.00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2320301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25市级一般债券付息-病原体快速检测平台</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772600.00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772600.00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2320301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25市级一般债券付息-市疾控中心现代化疾病预防控制体系建设项目</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38600.00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38600.00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注：本表反映本年度项目支出决算情况，其中支出数包括当年预算资金和以前年度结转资金安排的合计实际支出。</w:t>
            </w:r>
          </w:p>
        </w:tc>
      </w:tr>
    </w:tbl>
    <w:p>
      <w:pPr>
        <w:sectPr>
          <w:footerReference w:type="default" r:id="rId7"/>
          <w:pgSz w:w="16838" w:h="11906" w:orient="landscape"/>
          <w:pgMar w:top="1800" w:right="1440" w:bottom="1800" w:left="144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pPr>
    </w:p>
    <w:p>
      <w:pPr>
        <w:pStyle w:val="标题1"/>
        <w:wordWrap w:val="0"/>
        <w:spacing w:before="0" w:after="0" w:line="600" w:lineRule="exact"/>
        <w:jc w:val="center"/>
        <w:rPr>
          <w:rFonts w:ascii="方正小标宋简体" w:eastAsia="方正小标宋简体" w:hAnsi="方正小标宋简体" w:cs="方正小标宋简体"/>
          <w:b w:val="0"/>
          <w:sz w:val="44"/>
          <w:szCs w:val="44"/>
          <w:highlight w:val="none"/>
        </w:rPr>
      </w:pPr>
      <w:bookmarkStart w:id="15" w:name="_Toc13918"/>
      <w:r>
        <w:rPr>
          <w:rFonts w:ascii="方正小标宋简体" w:eastAsia="方正小标宋简体" w:hAnsi="方正小标宋简体" w:cs="方正小标宋简体" w:hint="eastAsia"/>
          <w:b w:val="0"/>
          <w:bCs w:val="0"/>
          <w:lang w:val="en-US" w:eastAsia="zh-CN"/>
        </w:rPr>
        <w:t xml:space="preserve">第三部分  2025年度单位决算情况说明</w:t>
      </w:r>
      <w:bookmarkEnd w:id="15"/>
    </w:p>
    <w:p>
      <w:pPr>
        <w:divId w:val="0"/>
        <w:spacing w:line="600" w:lineRule="exact"/>
        <w:ind w:firstLine="600" w:firstLineChars="200"/>
        <w:rPr>
          <w:rFonts w:ascii="黑体" w:eastAsia="黑体" w:hint="eastAsia"/>
          <w:sz w:val="30"/>
          <w:szCs w:val="30"/>
          <w:highlight w:val="none"/>
        </w:rPr>
      </w:pPr>
    </w:p>
    <w:p>
      <w:pPr>
        <w:pStyle w:val="标题2"/>
        <w:wordWrap w:val="0"/>
        <w:spacing w:before="0" w:after="0" w:line="600" w:lineRule="exact"/>
        <w:ind w:firstLine="600" w:firstLineChars="200"/>
        <w:rPr>
          <w:rFonts w:ascii="黑体" w:eastAsia="黑体" w:hAnsi="黑体" w:cs="方正仿宋_GB2312" w:hint="eastAsia"/>
          <w:bCs w:val="0"/>
          <w:sz w:val="30"/>
          <w:szCs w:val="30"/>
          <w:lang w:val="en-US" w:eastAsia="zh-CN"/>
        </w:rPr>
      </w:pPr>
      <w:bookmarkStart w:id="16" w:name="_Toc16656"/>
      <w:r>
        <w:rPr>
          <w:rFonts w:ascii="黑体" w:eastAsia="黑体" w:hAnsi="黑体" w:cs="方正仿宋_GB2312" w:hint="eastAsia"/>
          <w:bCs w:val="0"/>
          <w:sz w:val="30"/>
          <w:szCs w:val="30"/>
          <w:lang w:val="en-US" w:eastAsia="zh-CN"/>
        </w:rPr>
        <w:t xml:space="preserve">一、收入支出决算总体情况说明</w:t>
      </w:r>
      <w:bookmarkEnd w:id="16"/>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天津市疾病预防控制中心</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年度收入、支出决算总</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274,629,136.38</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年度相比，收、支总计</w:t>
      </w:r>
      <w:r>
        <w:rPr>
          <w:rFonts w:eastAsia="仿宋_GB2312" w:hint="eastAsia"/>
          <w:sz w:val="30"/>
          <w:szCs w:val="30"/>
          <w:highlight w:val="none"/>
          <w:lang w:val="en-US" w:eastAsia="zh-CN"/>
        </w:rPr>
        <w:t xml:space="preserve">各</w:t>
      </w:r>
      <w:r>
        <w:rPr>
          <w:rFonts w:eastAsia="仿宋_GB2312" w:hint="eastAsia"/>
          <w:sz w:val="30"/>
          <w:szCs w:val="30"/>
          <w:highlight w:val="none"/>
          <w:lang w:val="en-US" w:eastAsia="zh-CN"/>
        </w:rPr>
        <w:t xml:space="preserve">减少35,353,270.45元，下降11.40%</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监测预警平台一期建设2024年度主要工作已基本完工</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收入包括：</w:t>
      </w:r>
      <w:r>
        <w:rPr>
          <w:rFonts w:eastAsia="仿宋_GB2312" w:hint="eastAsia"/>
          <w:sz w:val="30"/>
          <w:szCs w:val="30"/>
          <w:highlight w:val="none"/>
          <w:lang w:val="en-US" w:eastAsia="zh-CN"/>
        </w:rPr>
        <w:t xml:space="preserve">一般公共预算财政拨款收入244,753,251.92元、事业收入24,428,326.09元、其他收入406,385.80元</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支出包括：</w:t>
      </w:r>
      <w:r>
        <w:rPr>
          <w:rFonts w:eastAsia="仿宋_GB2312" w:hint="eastAsia"/>
          <w:sz w:val="30"/>
          <w:szCs w:val="30"/>
          <w:highlight w:val="none"/>
          <w:lang w:val="en-US" w:eastAsia="zh-CN"/>
        </w:rPr>
        <w:t xml:space="preserve">科学技术支出6,225.00元、社会保障和就业支出10,196,053.52元、卫生健康支出259,276,753.31元、债务付息支出811,200.00元</w:t>
      </w:r>
      <w:r>
        <w:rPr>
          <w:rFonts w:eastAsia="仿宋_GB2312" w:hint="eastAsia"/>
          <w:sz w:val="30"/>
          <w:szCs w:val="30"/>
          <w:highlight w:val="none"/>
          <w:lang w:val="en-US" w:eastAsia="zh-CN"/>
        </w:rPr>
        <w:t xml:space="preserve">。</w:t>
      </w:r>
    </w:p>
    <w:p>
      <w:pPr>
        <w:pStyle w:val="标题2"/>
        <w:wordWrap w:val="0"/>
        <w:spacing w:before="0" w:after="0" w:line="600" w:lineRule="exact"/>
        <w:ind w:firstLine="600" w:firstLineChars="200"/>
        <w:rPr>
          <w:rFonts w:ascii="黑体" w:eastAsia="黑体" w:hAnsi="黑体" w:cs="方正仿宋_GB2312" w:hint="eastAsia"/>
          <w:bCs w:val="0"/>
          <w:sz w:val="30"/>
          <w:szCs w:val="30"/>
          <w:lang w:val="en-US" w:eastAsia="zh-CN"/>
        </w:rPr>
      </w:pPr>
      <w:bookmarkStart w:id="17" w:name="_Toc20266"/>
      <w:r>
        <w:rPr>
          <w:rFonts w:ascii="黑体" w:eastAsia="黑体" w:hAnsi="黑体" w:cs="方正仿宋_GB2312" w:hint="eastAsia"/>
          <w:bCs w:val="0"/>
          <w:sz w:val="30"/>
          <w:szCs w:val="30"/>
          <w:lang w:val="en-US" w:eastAsia="zh-CN"/>
        </w:rPr>
        <w:t xml:space="preserve">二、收入决算情况说明</w:t>
      </w:r>
      <w:bookmarkEnd w:id="17"/>
    </w:p>
    <w:p>
      <w:pPr>
        <w:divId w:val="0"/>
        <w:spacing w:line="600" w:lineRule="exact"/>
        <w:ind w:firstLine="600"/>
        <w:rPr>
          <w:rFonts w:eastAsia="仿宋_GB2312" w:hint="eastAsia"/>
          <w:sz w:val="30"/>
          <w:szCs w:val="30"/>
          <w:highlight w:val="yellow"/>
          <w:lang w:val="en-US" w:eastAsia="zh-CN"/>
        </w:rPr>
      </w:pPr>
      <w:r>
        <w:rPr>
          <w:rFonts w:eastAsia="仿宋_GB2312" w:hint="eastAsia"/>
          <w:sz w:val="30"/>
          <w:szCs w:val="30"/>
          <w:highlight w:val="none"/>
          <w:lang w:val="en-US" w:eastAsia="zh-CN"/>
        </w:rPr>
        <w:t xml:space="preserve">天津市疾病预防控制中心</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年度本年收入合</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269,587,963.81</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减少35,118,629.06元，</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监测预警平台一期建设2024年度主要工作已基本完工</w:t>
      </w:r>
      <w:r>
        <w:rPr>
          <w:rFonts w:eastAsia="仿宋_GB2312" w:hint="eastAsia"/>
          <w:sz w:val="30"/>
          <w:szCs w:val="30"/>
          <w:highlight w:val="none"/>
          <w:lang w:val="en-US" w:eastAsia="zh-CN"/>
        </w:rPr>
        <w:t xml:space="preserve">。其中：</w:t>
      </w:r>
      <w:r>
        <w:rPr>
          <w:rFonts w:eastAsia="仿宋_GB2312" w:hint="eastAsia"/>
          <w:sz w:val="30"/>
          <w:szCs w:val="30"/>
          <w:highlight w:val="none"/>
          <w:lang w:val="en-US" w:eastAsia="zh-CN"/>
        </w:rPr>
        <w:t xml:space="preserve">一般公共预算财政拨款收入244,753,251.92元，占90.79%；事业收入24,428,326.09元，占9.06%；其他收入406,385.80元，占0.15%</w:t>
      </w:r>
      <w:r>
        <w:rPr>
          <w:rFonts w:eastAsia="仿宋_GB2312" w:hint="eastAsia"/>
          <w:sz w:val="30"/>
          <w:szCs w:val="30"/>
          <w:highlight w:val="none"/>
          <w:lang w:val="en-US" w:eastAsia="zh-CN"/>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18" w:name="_Toc17730"/>
      <w:r>
        <w:rPr>
          <w:rFonts w:ascii="黑体" w:eastAsia="黑体" w:hAnsi="黑体" w:cs="方正仿宋_GB2312" w:hint="eastAsia"/>
          <w:bCs w:val="0"/>
          <w:sz w:val="30"/>
          <w:szCs w:val="30"/>
          <w:highlight w:val="none"/>
          <w:u w:val="none"/>
          <w:lang w:val="en-US" w:eastAsia="zh-CN"/>
        </w:rPr>
        <w:t xml:space="preserve">三、支出决算情况说明</w:t>
      </w:r>
      <w:bookmarkEnd w:id="18"/>
    </w:p>
    <w:p>
      <w:pPr>
        <w:divId w:val="0"/>
        <w:spacing w:line="600" w:lineRule="exact"/>
        <w:ind w:firstLine="600" w:firstLineChars="200"/>
        <w:rPr>
          <w:rFonts w:eastAsia="仿宋_GB2312" w:hint="eastAsia"/>
          <w:sz w:val="30"/>
          <w:szCs w:val="30"/>
          <w:highlight w:val="yellow"/>
          <w:lang w:val="en-US" w:eastAsia="zh-CN"/>
        </w:rPr>
      </w:pPr>
      <w:r>
        <w:rPr>
          <w:rFonts w:eastAsia="仿宋_GB2312" w:hint="eastAsia"/>
          <w:sz w:val="30"/>
          <w:szCs w:val="30"/>
          <w:highlight w:val="none"/>
          <w:lang w:val="en-US" w:eastAsia="zh-CN"/>
        </w:rPr>
        <w:t xml:space="preserve">天津市疾病预防控制中心</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年度本年支出合</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270,290,231.83</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减少31,468,868.13元，</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监测预警平台一期建设2024年度主要工作已基本完工</w:t>
      </w:r>
      <w:r>
        <w:rPr>
          <w:rFonts w:eastAsia="仿宋_GB2312" w:hint="eastAsia"/>
          <w:sz w:val="30"/>
          <w:szCs w:val="30"/>
          <w:highlight w:val="none"/>
          <w:lang w:val="en-US" w:eastAsia="zh-CN"/>
        </w:rPr>
        <w:t xml:space="preserve">。其中：</w:t>
      </w:r>
      <w:r>
        <w:rPr>
          <w:rFonts w:eastAsia="仿宋_GB2312" w:hint="eastAsia"/>
          <w:sz w:val="30"/>
          <w:szCs w:val="30"/>
          <w:highlight w:val="none"/>
        </w:rPr>
        <w:t xml:space="preserve">基本支出127,446,487.33元，占47.15%；项目支出142,843,744.50元，占52.85%</w:t>
      </w:r>
      <w:r>
        <w:rPr>
          <w:rFonts w:eastAsia="仿宋_GB2312" w:hint="eastAsia"/>
          <w:sz w:val="30"/>
          <w:szCs w:val="30"/>
          <w:highlight w:val="none"/>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19" w:name="_Toc16631"/>
      <w:r>
        <w:rPr>
          <w:rFonts w:ascii="黑体" w:eastAsia="黑体" w:hAnsi="黑体" w:cs="方正仿宋_GB2312" w:hint="eastAsia"/>
          <w:bCs w:val="0"/>
          <w:sz w:val="30"/>
          <w:szCs w:val="30"/>
          <w:highlight w:val="none"/>
          <w:u w:val="none"/>
          <w:lang w:val="en-US" w:eastAsia="zh-CN"/>
        </w:rPr>
        <w:t xml:space="preserve">四、财政拨款收支决算总体情况说明</w:t>
      </w:r>
      <w:bookmarkEnd w:id="19"/>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天津市疾病预防控制中心</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年度财政拨款收入、支出决算总</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244,753,251.92</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年度相比，财政拨款收、支总计</w:t>
      </w:r>
      <w:r>
        <w:rPr>
          <w:rFonts w:eastAsia="仿宋_GB2312" w:hint="eastAsia"/>
          <w:sz w:val="30"/>
          <w:szCs w:val="30"/>
          <w:highlight w:val="none"/>
          <w:lang w:val="en-US" w:eastAsia="zh-CN"/>
        </w:rPr>
        <w:t xml:space="preserve">各</w:t>
      </w:r>
      <w:r>
        <w:rPr>
          <w:rFonts w:eastAsia="仿宋_GB2312" w:hint="eastAsia"/>
          <w:sz w:val="30"/>
          <w:szCs w:val="30"/>
          <w:highlight w:val="none"/>
          <w:lang w:val="en-US" w:eastAsia="zh-CN"/>
        </w:rPr>
        <w:t xml:space="preserve">减少33,385,978.05元，下降12.00%，</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监测预警平台一期建设2024年度主要工作已基本完工</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收入包括：</w:t>
      </w:r>
      <w:r>
        <w:rPr>
          <w:rFonts w:eastAsia="仿宋_GB2312" w:hint="eastAsia"/>
          <w:sz w:val="30"/>
          <w:szCs w:val="30"/>
          <w:highlight w:val="none"/>
          <w:lang w:val="en-US" w:eastAsia="zh-CN"/>
        </w:rPr>
        <w:t xml:space="preserve">一般公共预算财政拨款244,753,251.92元</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支出包括：</w:t>
      </w:r>
      <w:r>
        <w:rPr>
          <w:rFonts w:eastAsia="仿宋_GB2312" w:hint="eastAsia"/>
          <w:sz w:val="30"/>
          <w:szCs w:val="30"/>
          <w:highlight w:val="none"/>
          <w:lang w:val="en-US" w:eastAsia="zh-CN"/>
        </w:rPr>
        <w:t xml:space="preserve">科学技术支出6,225.00元、社会保障和就业支出10,196,053.52元、卫生健康支出233,739,773.40元、债务付息支出811,200.00元</w:t>
      </w:r>
      <w:r>
        <w:rPr>
          <w:rFonts w:eastAsia="仿宋_GB2312" w:hint="eastAsia"/>
          <w:sz w:val="30"/>
          <w:szCs w:val="30"/>
          <w:highlight w:val="none"/>
          <w:lang w:val="en-US" w:eastAsia="zh-CN"/>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20" w:name="_Toc13902"/>
      <w:r>
        <w:rPr>
          <w:rFonts w:ascii="黑体" w:eastAsia="黑体" w:hAnsi="黑体" w:cs="方正仿宋_GB2312" w:hint="eastAsia"/>
          <w:bCs w:val="0"/>
          <w:sz w:val="30"/>
          <w:szCs w:val="30"/>
          <w:highlight w:val="none"/>
          <w:u w:val="none"/>
          <w:lang w:val="en-US" w:eastAsia="zh-CN"/>
        </w:rPr>
        <w:t xml:space="preserve">五、一般公共预算财政拨款支出决算情况说明</w:t>
      </w:r>
      <w:bookmarkEnd w:id="20"/>
    </w:p>
    <w:p>
      <w:pPr>
        <w:divId w:val="0"/>
        <w:spacing w:line="600" w:lineRule="exact"/>
        <w:ind w:left="480" w:leftChars="200"/>
        <w:rPr>
          <w:rFonts w:ascii="楷体" w:eastAsia="楷体" w:hAnsi="楷体" w:cs="方正仿宋_GB2312" w:hint="eastAsia"/>
          <w:b/>
          <w:sz w:val="30"/>
          <w:szCs w:val="30"/>
          <w:highlight w:val="none"/>
        </w:rPr>
      </w:pPr>
      <w:r>
        <w:rPr>
          <w:rFonts w:ascii="楷体" w:eastAsia="楷体" w:hAnsi="楷体" w:cs="方正仿宋_GB2312" w:hint="eastAsia"/>
          <w:b/>
          <w:sz w:val="30"/>
          <w:szCs w:val="30"/>
          <w:lang w:val="en-US" w:eastAsia="zh-CN"/>
        </w:rPr>
        <w:t xml:space="preserve">（一）总体情况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天津市疾病预防控制中心2025年度一般公共预算财政拨款支出合计244,753,251.92元，占本年支出合计的90.55%。与2024年度相比，一般公共预算财政拨款支出</w:t>
      </w:r>
      <w:r>
        <w:rPr>
          <w:rFonts w:eastAsia="仿宋_GB2312" w:hint="eastAsia"/>
          <w:sz w:val="30"/>
          <w:szCs w:val="30"/>
          <w:highlight w:val="none"/>
          <w:lang w:val="en-US" w:eastAsia="zh-CN"/>
        </w:rPr>
        <w:t xml:space="preserve">减少33,385,978.05元</w:t>
      </w:r>
      <w:r>
        <w:rPr>
          <w:rFonts w:eastAsia="仿宋_GB2312" w:hint="eastAsia"/>
          <w:sz w:val="30"/>
          <w:szCs w:val="30"/>
          <w:highlight w:val="none"/>
          <w:lang w:val="en-US" w:eastAsia="zh-CN"/>
        </w:rPr>
        <w:t xml:space="preserve">，下降12.00%</w:t>
      </w:r>
      <w:r>
        <w:rPr>
          <w:rFonts w:eastAsia="仿宋_GB2312" w:hint="eastAsia"/>
          <w:sz w:val="30"/>
          <w:szCs w:val="30"/>
          <w:highlight w:val="none"/>
          <w:lang w:val="en-US" w:eastAsia="zh-CN"/>
        </w:rPr>
        <w:t xml:space="preserve">，主要原因是监测预警平台一期建设2024年度主要工作已基本完工。</w:t>
      </w:r>
    </w:p>
    <w:p>
      <w:pPr>
        <w:divId w:val="0"/>
        <w:spacing w:line="600" w:lineRule="exact"/>
        <w:ind w:firstLine="600" w:firstLineChars="200"/>
        <w:rPr>
          <w:rFonts w:ascii="楷体" w:eastAsia="楷体" w:hAnsi="楷体" w:cs="方正仿宋_GB2312" w:hint="eastAsia"/>
          <w:b/>
          <w:sz w:val="30"/>
          <w:szCs w:val="30"/>
          <w:highlight w:val="none"/>
          <w:lang w:val="en-US" w:eastAsia="zh-CN"/>
        </w:rPr>
      </w:pPr>
      <w:r>
        <w:rPr>
          <w:rFonts w:ascii="楷体" w:eastAsia="楷体" w:hAnsi="楷体" w:cs="方正仿宋_GB2312" w:hint="eastAsia"/>
          <w:b/>
          <w:sz w:val="30"/>
          <w:szCs w:val="30"/>
          <w:lang w:val="en-US" w:eastAsia="zh-CN"/>
        </w:rPr>
        <w:t xml:space="preserve">（二）支出结构情况</w:t>
      </w:r>
    </w:p>
    <w:p>
      <w:pPr>
        <w:divId w:val="0"/>
        <w:spacing w:line="600" w:lineRule="exact"/>
        <w:ind w:firstLine="600" w:firstLineChars="200"/>
        <w:rPr>
          <w:rFonts w:eastAsia="仿宋_GB2312"/>
          <w:sz w:val="30"/>
          <w:szCs w:val="30"/>
          <w:highlight w:val="none"/>
        </w:rPr>
      </w:pPr>
      <w:r>
        <w:rPr>
          <w:rFonts w:eastAsia="仿宋_GB2312" w:hint="eastAsia"/>
          <w:sz w:val="30"/>
          <w:szCs w:val="30"/>
          <w:highlight w:val="none"/>
          <w:lang w:val="en-US" w:eastAsia="zh-CN"/>
        </w:rPr>
        <w:t xml:space="preserve">2025年度一般公共预算财政拨款支出244,753,251.92元，主要用于以下方面：</w:t>
      </w:r>
      <w:r>
        <w:rPr>
          <w:rFonts w:eastAsia="仿宋_GB2312" w:hint="eastAsia"/>
          <w:sz w:val="30"/>
          <w:szCs w:val="30"/>
          <w:highlight w:val="none"/>
        </w:rPr>
        <w:t xml:space="preserve">科学技术支出（类）支出6,225.00元，占0.00%，社会保障和就业支出（类）支出10,196,053.52元，占4.17%，卫生健康支出（类）支出233,739,773.40元，占95.50%，债务付息支出（类）支出811,200.00元，占0.33%</w:t>
      </w:r>
      <w:r>
        <w:rPr>
          <w:rFonts w:eastAsia="仿宋_GB2312" w:hint="eastAsia"/>
          <w:sz w:val="30"/>
          <w:szCs w:val="30"/>
          <w:highlight w:val="none"/>
        </w:rPr>
        <w:t xml:space="preserve">。</w:t>
      </w:r>
    </w:p>
    <w:p>
      <w:pPr>
        <w:divId w:val="0"/>
        <w:spacing w:line="600" w:lineRule="exact"/>
        <w:ind w:firstLine="600" w:firstLineChars="200"/>
        <w:rPr>
          <w:rFonts w:ascii="楷体" w:eastAsia="楷体" w:hAnsi="楷体" w:cs="方正仿宋_GB2312" w:hint="eastAsia"/>
          <w:b/>
          <w:sz w:val="30"/>
          <w:szCs w:val="30"/>
          <w:highlight w:val="none"/>
        </w:rPr>
      </w:pPr>
      <w:r>
        <w:rPr>
          <w:rFonts w:ascii="楷体" w:eastAsia="楷体" w:hAnsi="楷体" w:cs="方正仿宋_GB2312" w:hint="eastAsia"/>
          <w:b/>
          <w:sz w:val="30"/>
          <w:szCs w:val="30"/>
          <w:lang w:val="en-US" w:eastAsia="zh-CN"/>
        </w:rPr>
        <w:t xml:space="preserve">（三）具体情况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2025年度一般公共预算财政拨款支出年初预算为216,370,825.00元，支出决算为244,753,251.92元</w:t>
      </w:r>
      <w:r>
        <w:rPr>
          <w:rFonts w:eastAsia="仿宋_GB2312" w:hint="eastAsia"/>
          <w:sz w:val="30"/>
          <w:szCs w:val="30"/>
          <w:highlight w:val="none"/>
          <w:lang w:val="en-US" w:eastAsia="zh-CN"/>
        </w:rPr>
        <w:t xml:space="preserve">，完成年初预算的113.12%</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科学技术支出（类）基础研究（款）自然科学基金（项）年初预算为2,725.00元，支出决算为2,725.00元，完成年初预算的100.00%，决算数与年初预算数持平的主要原因是：合理安排自然科学基金项目支出，严格按照预算执行。</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科学技术支出（类）基础研究（款）其他基础研究支出（项）年初预算为3,500.00元，支出决算为3,500.00元，完成年初预算的100.00%，决算数与年初预算数持平的主要原因是：合理安排其他基础研究支出，严格按照预算执行。</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3.科学技术支出（类）其他科学技术支出（款）其他科学技术支出（项）年初预算为50,800.00元，支出决算为0.00元，决算数小于年初预算数的主要原因是：年末收回其他科学技术支出50,800.00元。</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4.社会保障和就业支出（类）人力资源和社会保障管理事务（款）引进人才费用（项）年初预算为0.00元，支出决算为100,000.00元，决算数大于年初预算数的主要原因是：年中追加引进人才费用项目100,000.00元。</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5.社会保障和就业支出（类）行政事业单位养老支出（款）机关事业单位基本养老保险缴费支出（项）年初预算为6,150,000.00元，支出决算为6,150,000.00元，完成年初预算的100.00%，决算数与年初预算数持平的主要原因是：合理安排机关事业单位基本养老保险缴费支出，严格按照预算执行。</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6.社会保障和就业支出（类）行政事业单位养老支出（款）机关事业单位职业年金缴费支出（项）年初预算为3,075,000.00元，支出决算为3,395,138.12元，完成年初预算的110.41%，决算数大于年初预算数的主要原因是：年中追加机关事业单位职业年金缴费支出320,138.12元。</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7.社会保障和就业支出（类）其他社会保障和就业支出（款）其他社会保障和就业支出（项）年初预算为0.00元，支出决算为550,915.40元，决算数大于年初预算数的主要原因是：年中追加抚恤金支出550,915.40元。</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8.卫生健康支出（类）公共卫生（款）疾病预防控制机构（项）年初预算为137,497,600.00元，支出决算为173,955,711.17元，完成年初预算的126.52%，决算数大于年初预算数的主要原因是：年中追加疾病预防控制机构项目58,620,000.00元，年末收回178,721,888.83元。</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9.卫生健康支出（类）公共卫生（款）基本公共卫生服务（项）年初预算为10,546,000.00元，支出决算为10,178,658.24元，完成年初预算的96.52%，决算数小于年初预算数的主要原因是：年末收回基本公共卫生服务项目367,341.76元。</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10.卫生健康支出（类）公共卫生（款）重大公共卫生服务（项）年初预算为52,691,000.00元，支出决算为44,046,003.99元，完成年初预算的83.59%，决算数小于年初预算数的主要原因是：年末收回重大公共卫生服务项目8,644,996.01元。</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11.卫生健康支出（类）行政事业单位医疗（款）事业单位医疗（项）年初预算为4,076,000.00元，支出决算为4,092,400.00元，完成年初预算的100.40%，决算数大于年初预算数的主要原因是：年中追加事业单位医疗支出16,400.00元。</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12.卫生健康支出（类）行政事业单位医疗（款）其他行政事业单位医疗支出（项）年初预算为1,467,000.00元，支出决算为1,467,000.00元，完成年初预算的100.00%，决算数与年初预算数持平的主要原因是：合理安排其他行政事业单位医疗支出，严格按照预算执行。</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13.债务付息支出（类）地方政府一般债务付息支出（款）地方政府一般债券付息支出（项）年初预算为811,200.00元，支出决算为811,200.00元，完成年初预算的100.00%，决算数与年初预算数持平的主要原因是：合理安排地方政府一般债券付息支出，严格按照预算执行。</w:t>
      </w:r>
    </w:p>
    <w:p>
      <w:pPr>
        <w:pStyle w:val="标题2"/>
        <w:spacing w:before="0" w:after="0" w:line="600" w:lineRule="exact"/>
        <w:ind w:firstLine="600" w:firstLineChars="200"/>
        <w:rPr>
          <w:rFonts w:ascii="黑体" w:eastAsia="黑体" w:hAnsi="黑体"/>
          <w:b w:val="0"/>
          <w:sz w:val="30"/>
          <w:szCs w:val="30"/>
          <w:highlight w:val="none"/>
        </w:rPr>
      </w:pPr>
      <w:bookmarkStart w:id="21" w:name="_Toc21908"/>
      <w:r>
        <w:rPr>
          <w:rFonts w:ascii="黑体" w:eastAsia="黑体" w:hAnsi="黑体" w:cs="方正仿宋_GB2312" w:hint="eastAsia"/>
          <w:bCs w:val="0"/>
          <w:sz w:val="30"/>
          <w:szCs w:val="30"/>
          <w:highlight w:val="none"/>
          <w:u w:val="none"/>
          <w:lang w:val="en-US" w:eastAsia="zh-CN"/>
        </w:rPr>
        <w:t xml:space="preserve">六、一般公共预算财政拨款基本支出决算情况说明</w:t>
      </w:r>
      <w:bookmarkEnd w:id="21"/>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天津市疾病预防控制中心2025年度一般公共预算财政拨款基本支出合计106,892,038.12元，与2024年度相比</w:t>
      </w:r>
      <w:r>
        <w:rPr>
          <w:rFonts w:eastAsia="仿宋_GB2312" w:hint="eastAsia"/>
          <w:sz w:val="30"/>
          <w:szCs w:val="30"/>
          <w:highlight w:val="none"/>
          <w:lang w:val="en-US" w:eastAsia="zh-CN"/>
        </w:rPr>
        <w:t xml:space="preserve">增加4,272,001.40元，</w:t>
      </w:r>
      <w:r>
        <w:rPr>
          <w:rFonts w:eastAsia="仿宋_GB2312" w:hint="eastAsia"/>
          <w:sz w:val="30"/>
          <w:szCs w:val="30"/>
          <w:highlight w:val="none"/>
          <w:lang w:val="en-US" w:eastAsia="zh-CN"/>
        </w:rPr>
        <w:t xml:space="preserve">主要原因是2025年度增资并补发2024年7-12月。</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人员经费96,958,238.12元，主要包括</w:t>
      </w:r>
      <w:r>
        <w:rPr>
          <w:rFonts w:eastAsia="仿宋_GB2312" w:hint="eastAsia"/>
          <w:sz w:val="30"/>
          <w:szCs w:val="30"/>
          <w:highlight w:val="none"/>
          <w:lang w:val="en-US" w:eastAsia="zh-CN"/>
        </w:rPr>
        <w:t xml:space="preserve">基本工资、津贴补贴、绩效工资、机关事业单位基本养老保险缴费、职业年金缴费、职工基本医疗保险缴费、其他社会保障缴费、住房公积金、医疗费、其他工资福利支出、离休费、退休费、生活补助、医疗费补助、其他对个人和家庭的补助</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公用经费9,933,800.00元，主要包括</w:t>
      </w:r>
      <w:r>
        <w:rPr>
          <w:rFonts w:eastAsia="仿宋_GB2312" w:hint="eastAsia"/>
          <w:sz w:val="30"/>
          <w:szCs w:val="30"/>
          <w:highlight w:val="none"/>
          <w:lang w:val="en-US" w:eastAsia="zh-CN"/>
        </w:rPr>
        <w:t xml:space="preserve">办公费、手续费、水费、电费、邮电费、取暖费、物业管理费、差旅费、维修(护)费、培训费、公务接待费、专用材料费、劳务费、委托业务费、工会经费、福利费、其他交通费用、其他商品和服务支出</w:t>
      </w:r>
      <w:r>
        <w:rPr>
          <w:rFonts w:eastAsia="仿宋_GB2312" w:hint="eastAsia"/>
          <w:sz w:val="30"/>
          <w:szCs w:val="30"/>
          <w:highlight w:val="none"/>
          <w:lang w:val="en-US" w:eastAsia="zh-CN"/>
        </w:rPr>
        <w:t xml:space="preserve">。</w:t>
      </w:r>
    </w:p>
    <w:p>
      <w:pPr>
        <w:pStyle w:val="标题2"/>
        <w:spacing w:before="0" w:after="0" w:line="600" w:lineRule="exact"/>
        <w:ind w:firstLine="600" w:firstLineChars="200"/>
        <w:rPr>
          <w:rFonts w:ascii="楷体" w:eastAsia="楷体" w:hAnsi="楷体" w:cs="方正仿宋_GB2312" w:hint="eastAsia"/>
          <w:b w:val="0"/>
          <w:sz w:val="30"/>
          <w:szCs w:val="30"/>
          <w:highlight w:val="none"/>
        </w:rPr>
      </w:pPr>
      <w:bookmarkStart w:id="22" w:name="_Toc4044"/>
      <w:r>
        <w:rPr>
          <w:rFonts w:ascii="黑体" w:eastAsia="黑体" w:hAnsi="黑体" w:cs="方正仿宋_GB2312" w:hint="eastAsia"/>
          <w:bCs w:val="0"/>
          <w:sz w:val="30"/>
          <w:szCs w:val="30"/>
          <w:highlight w:val="none"/>
          <w:u w:val="none"/>
          <w:lang w:val="en-US" w:eastAsia="zh-CN"/>
        </w:rPr>
        <w:t xml:space="preserve">七、政府性基金预算财政拨款收支决算情况说明</w:t>
      </w:r>
      <w:bookmarkEnd w:id="22"/>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天津市疾病预防控制中心2025年度无政府性基金预算财政拨款收入、支出和结转结余。</w:t>
      </w:r>
    </w:p>
    <w:p>
      <w:pPr>
        <w:pStyle w:val="标题2"/>
        <w:spacing w:before="0" w:after="0" w:line="600" w:lineRule="exact"/>
        <w:ind w:firstLine="600" w:firstLineChars="200"/>
        <w:rPr>
          <w:rFonts w:eastAsia="黑体" w:hint="eastAsia"/>
          <w:b w:val="0"/>
          <w:sz w:val="30"/>
          <w:szCs w:val="30"/>
          <w:highlight w:val="none"/>
        </w:rPr>
      </w:pPr>
      <w:bookmarkStart w:id="23" w:name="_Toc5943"/>
      <w:r>
        <w:rPr>
          <w:rFonts w:ascii="黑体" w:eastAsia="黑体" w:hAnsi="黑体" w:cs="方正仿宋_GB2312" w:hint="eastAsia"/>
          <w:bCs w:val="0"/>
          <w:sz w:val="30"/>
          <w:szCs w:val="30"/>
          <w:highlight w:val="none"/>
          <w:u w:val="none"/>
          <w:lang w:val="en-US" w:eastAsia="zh-CN"/>
        </w:rPr>
        <w:t xml:space="preserve">八、国有资本经营预算财政拨款收支决算情况说明</w:t>
      </w:r>
      <w:bookmarkEnd w:id="23"/>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天津市疾病预防控制中心2025年度无国有资本经营预算财政拨款收入、支出和结转结余。</w:t>
      </w:r>
    </w:p>
    <w:p>
      <w:pPr>
        <w:pStyle w:val="标题2"/>
        <w:spacing w:before="0" w:after="0" w:line="600" w:lineRule="exact"/>
        <w:ind w:firstLine="600" w:firstLineChars="200"/>
        <w:rPr>
          <w:rFonts w:ascii="黑体" w:eastAsia="黑体" w:hAnsi="黑体"/>
          <w:b w:val="0"/>
          <w:sz w:val="30"/>
          <w:szCs w:val="30"/>
          <w:highlight w:val="none"/>
        </w:rPr>
      </w:pPr>
      <w:bookmarkStart w:id="24" w:name="_Toc9262"/>
      <w:r>
        <w:rPr>
          <w:rFonts w:ascii="黑体" w:eastAsia="黑体" w:hAnsi="黑体" w:cs="方正仿宋_GB2312" w:hint="eastAsia"/>
          <w:bCs w:val="0"/>
          <w:sz w:val="30"/>
          <w:szCs w:val="30"/>
          <w:highlight w:val="none"/>
          <w:u w:val="none"/>
          <w:lang w:val="en-US" w:eastAsia="zh-CN"/>
        </w:rPr>
        <w:t xml:space="preserve">九、财政拨款“三公”经费支出决算情况说明</w:t>
      </w:r>
      <w:bookmarkEnd w:id="24"/>
    </w:p>
    <w:p>
      <w:pPr>
        <w:divId w:val="0"/>
        <w:spacing w:line="600" w:lineRule="exact"/>
        <w:ind w:firstLine="600" w:firstLineChars="200"/>
        <w:rPr>
          <w:rFonts w:ascii="楷体" w:eastAsia="楷体" w:hAnsi="楷体" w:cs="楷体" w:hint="eastAsia"/>
          <w:b/>
          <w:bCs/>
          <w:sz w:val="30"/>
          <w:szCs w:val="30"/>
          <w:highlight w:val="none"/>
          <w:lang w:eastAsia="zh-CN"/>
        </w:rPr>
      </w:pPr>
      <w:r>
        <w:rPr>
          <w:rFonts w:ascii="楷体" w:eastAsia="楷体" w:hAnsi="楷体" w:cs="楷体" w:hint="eastAsia"/>
          <w:b/>
          <w:bCs/>
          <w:sz w:val="30"/>
          <w:szCs w:val="30"/>
          <w:highlight w:val="none"/>
          <w:lang w:eastAsia="zh-CN"/>
        </w:rPr>
        <w:t xml:space="preserve">（一）总体情况</w:t>
      </w:r>
    </w:p>
    <w:p>
      <w:pPr>
        <w:divId w:val="0"/>
        <w:spacing w:line="600" w:lineRule="exact"/>
        <w:ind w:firstLine="600"/>
        <w:rPr>
          <w:rFonts w:eastAsia="仿宋_GB2312" w:hint="default"/>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年财政拨</w:t>
      </w:r>
      <w:r>
        <w:rPr>
          <w:rFonts w:eastAsia="仿宋_GB2312" w:hint="eastAsia"/>
          <w:sz w:val="30"/>
          <w:szCs w:val="30"/>
          <w:highlight w:val="none"/>
          <w:lang w:val="en-US" w:eastAsia="zh-CN"/>
        </w:rPr>
        <w:t xml:space="preserve">款</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三</w:t>
      </w:r>
      <w:r>
        <w:rPr>
          <w:rFonts w:eastAsia="仿宋_GB2312" w:hint="eastAsia"/>
          <w:sz w:val="30"/>
          <w:szCs w:val="30"/>
          <w:highlight w:val="none"/>
          <w:lang w:val="en-US" w:eastAsia="zh-CN"/>
        </w:rPr>
        <w:t xml:space="preserve">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经费预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10,000.00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10,000.00</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，完成预算的100.00%</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决算数与预算数持平的主要原因是严格控制三公经费开支，无预算不支出；</w:t>
      </w:r>
      <w:r>
        <w:rPr>
          <w:rFonts w:eastAsia="仿宋_GB2312" w:hint="eastAsia"/>
          <w:sz w:val="30"/>
          <w:szCs w:val="30"/>
          <w:highlight w:val="none"/>
          <w:lang w:val="en-US" w:eastAsia="zh-CN"/>
        </w:rPr>
        <w:t xml:space="preserve">决算数较上年持平的主要原因是严格控制三公经费开支，无预算不支出。</w:t>
      </w:r>
    </w:p>
    <w:p>
      <w:pPr>
        <w:divId w:val="0"/>
        <w:spacing w:line="600" w:lineRule="exact"/>
        <w:ind w:firstLine="600" w:firstLineChars="200"/>
        <w:rPr>
          <w:rFonts w:ascii="楷体" w:eastAsia="楷体" w:hAnsi="楷体" w:cs="楷体" w:hint="eastAsia"/>
          <w:b/>
          <w:bCs/>
          <w:sz w:val="30"/>
          <w:szCs w:val="30"/>
          <w:highlight w:val="none"/>
          <w:lang w:eastAsia="zh-CN"/>
        </w:rPr>
      </w:pPr>
      <w:r>
        <w:rPr>
          <w:rFonts w:ascii="楷体" w:eastAsia="楷体" w:hAnsi="楷体" w:cs="楷体" w:hint="eastAsia"/>
          <w:b/>
          <w:bCs/>
          <w:sz w:val="30"/>
          <w:szCs w:val="30"/>
          <w:highlight w:val="none"/>
          <w:lang w:eastAsia="zh-CN"/>
        </w:rPr>
        <w:t xml:space="preserve">（二）具体情况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因公出国（境）费预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决算数与预算数持平的主要原因是本年度未用一般公共预算财政拨款列支因公出国经费；</w:t>
      </w:r>
      <w:r>
        <w:rPr>
          <w:rFonts w:eastAsia="仿宋_GB2312" w:hint="eastAsia"/>
          <w:sz w:val="30"/>
          <w:szCs w:val="30"/>
          <w:highlight w:val="none"/>
          <w:lang w:val="en-US" w:eastAsia="zh-CN"/>
        </w:rPr>
        <w:t xml:space="preserve">决算数较上年持平的主要原因是本年度未用一般公共预算财政拨款列支因公出国经费。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年本单位组织的出国团</w:t>
      </w:r>
      <w:r>
        <w:rPr>
          <w:rFonts w:eastAsia="仿宋_GB2312" w:hint="eastAsia"/>
          <w:sz w:val="30"/>
          <w:szCs w:val="30"/>
          <w:highlight w:val="none"/>
          <w:lang w:val="en-US" w:eastAsia="zh-CN"/>
        </w:rPr>
        <w:t xml:space="preserve">组</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个，出</w:t>
      </w:r>
      <w:r>
        <w:rPr>
          <w:rFonts w:eastAsia="仿宋_GB2312" w:hint="eastAsia"/>
          <w:sz w:val="30"/>
          <w:szCs w:val="30"/>
          <w:highlight w:val="none"/>
          <w:lang w:val="en-US" w:eastAsia="zh-CN"/>
        </w:rPr>
        <w:t xml:space="preserve">国</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人次。</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公务用车购置及运行维护费预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决算数与预算数持平的主要原因是本年度未用一般公共预算财政拨款列支公务用车购置及维护经费；</w:t>
      </w:r>
      <w:r>
        <w:rPr>
          <w:rFonts w:eastAsia="仿宋_GB2312" w:hint="eastAsia"/>
          <w:sz w:val="30"/>
          <w:szCs w:val="30"/>
          <w:highlight w:val="none"/>
          <w:lang w:val="en-US" w:eastAsia="zh-CN"/>
        </w:rPr>
        <w:t xml:space="preserve">决算数较上年持平的主要原因是本年度未用一般公共预算财政拨款列支公务用车购置及维护经费。</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公务用车运行维护费预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决算数与预算数持平的主要原因是天津市疾病预防控制中心无公务用车；</w:t>
      </w:r>
      <w:r>
        <w:rPr>
          <w:rFonts w:eastAsia="仿宋_GB2312" w:hint="eastAsia"/>
          <w:sz w:val="30"/>
          <w:szCs w:val="30"/>
          <w:highlight w:val="none"/>
          <w:lang w:val="en-US" w:eastAsia="zh-CN"/>
        </w:rPr>
        <w:t xml:space="preserve">决算数较上年持平的主要原因是天津市疾病预防控制中心无公务用车。</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截</w:t>
      </w:r>
      <w:r>
        <w:rPr>
          <w:rFonts w:eastAsia="仿宋_GB2312" w:hint="eastAsia"/>
          <w:sz w:val="30"/>
          <w:szCs w:val="30"/>
          <w:highlight w:val="none"/>
          <w:lang w:val="en-US" w:eastAsia="zh-CN"/>
        </w:rPr>
        <w:t xml:space="preserve">至</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w:t>
      </w: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月</w:t>
      </w: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日，使用财政拨款开支运行维护费的公务用车保有量</w:t>
      </w:r>
      <w:r>
        <w:rPr>
          <w:rFonts w:eastAsia="仿宋_GB2312" w:hint="eastAsia"/>
          <w:sz w:val="30"/>
          <w:szCs w:val="30"/>
          <w:highlight w:val="none"/>
          <w:lang w:val="en-US" w:eastAsia="zh-CN"/>
        </w:rPr>
        <w:t xml:space="preserve">为</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辆</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公务用车购置费预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决算数与预算数持平的主要原因是天津市疾病预防控制中心无公务用车购置计划；</w:t>
      </w:r>
      <w:r>
        <w:rPr>
          <w:rFonts w:eastAsia="仿宋_GB2312" w:hint="eastAsia"/>
          <w:sz w:val="30"/>
          <w:szCs w:val="30"/>
          <w:highlight w:val="none"/>
          <w:lang w:val="en-US" w:eastAsia="zh-CN"/>
        </w:rPr>
        <w:t xml:space="preserve">决算数较上年持平的主要原因是天津市疾病预防控制中心无公务用车购置计划。</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年购置公务用</w:t>
      </w:r>
      <w:r>
        <w:rPr>
          <w:rFonts w:eastAsia="仿宋_GB2312" w:hint="eastAsia"/>
          <w:sz w:val="30"/>
          <w:szCs w:val="30"/>
          <w:highlight w:val="none"/>
          <w:lang w:val="en-US" w:eastAsia="zh-CN"/>
        </w:rPr>
        <w:t xml:space="preserve">车</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辆。</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公务接待费预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10,000.00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10,000.00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，完成预算的100.00%</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决算数与预算数持平的主要原因是严格控制三公经费开支，无预算不支出；</w:t>
      </w:r>
      <w:r>
        <w:rPr>
          <w:rFonts w:eastAsia="仿宋_GB2312" w:hint="eastAsia"/>
          <w:sz w:val="30"/>
          <w:szCs w:val="30"/>
          <w:highlight w:val="none"/>
          <w:lang w:val="en-US" w:eastAsia="zh-CN"/>
        </w:rPr>
        <w:t xml:space="preserve">决算数较上年持平的主要原因是严格控制三公经费开支，无预算不支出。</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年本单位国内公务接</w:t>
      </w:r>
      <w:r>
        <w:rPr>
          <w:rFonts w:eastAsia="仿宋_GB2312" w:hint="eastAsia"/>
          <w:sz w:val="30"/>
          <w:szCs w:val="30"/>
          <w:highlight w:val="none"/>
          <w:lang w:val="en-US" w:eastAsia="zh-CN"/>
        </w:rPr>
        <w:t xml:space="preserve">待</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批次</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39</w:t>
      </w:r>
      <w:r>
        <w:rPr>
          <w:rFonts w:eastAsia="仿宋_GB2312" w:hint="eastAsia"/>
          <w:sz w:val="30"/>
          <w:szCs w:val="30"/>
          <w:highlight w:val="none"/>
          <w:lang w:val="en-US" w:eastAsia="zh-CN"/>
        </w:rPr>
        <w:t xml:space="preserve">人次；其中，外事接</w:t>
      </w:r>
      <w:r>
        <w:rPr>
          <w:rFonts w:eastAsia="仿宋_GB2312" w:hint="eastAsia"/>
          <w:sz w:val="30"/>
          <w:szCs w:val="30"/>
          <w:highlight w:val="none"/>
          <w:lang w:val="en-US" w:eastAsia="zh-CN"/>
        </w:rPr>
        <w:t xml:space="preserve">待</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批次</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人次。</w:t>
      </w:r>
    </w:p>
    <w:p>
      <w:pPr>
        <w:pStyle w:val="标题2"/>
        <w:spacing w:before="0" w:after="0" w:line="600" w:lineRule="exact"/>
        <w:ind w:firstLine="600" w:firstLineChars="200"/>
        <w:rPr>
          <w:rFonts w:ascii="黑体" w:eastAsia="黑体" w:hAnsi="黑体"/>
          <w:b w:val="0"/>
          <w:sz w:val="30"/>
          <w:szCs w:val="30"/>
          <w:highlight w:val="none"/>
        </w:rPr>
      </w:pPr>
      <w:bookmarkStart w:id="25" w:name="_Toc850"/>
      <w:r>
        <w:rPr>
          <w:rFonts w:ascii="黑体" w:eastAsia="黑体" w:hAnsi="黑体" w:cs="方正仿宋_GB2312" w:hint="eastAsia"/>
          <w:bCs w:val="0"/>
          <w:sz w:val="30"/>
          <w:szCs w:val="30"/>
          <w:highlight w:val="none"/>
          <w:u w:val="none"/>
          <w:lang w:val="en-US" w:eastAsia="zh-CN"/>
        </w:rPr>
        <w:t xml:space="preserve">十、机关运行经费支出情况说明</w:t>
      </w:r>
      <w:bookmarkEnd w:id="25"/>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天津市疾病预防控制中心2025年度无机关运行经费。</w:t>
      </w:r>
    </w:p>
    <w:p>
      <w:pPr>
        <w:pStyle w:val="标题2"/>
        <w:spacing w:before="0" w:after="0" w:line="600" w:lineRule="exact"/>
        <w:ind w:firstLine="600" w:firstLineChars="200"/>
        <w:rPr>
          <w:rFonts w:ascii="黑体" w:eastAsia="黑体" w:hAnsi="黑体" w:cs="方正仿宋_GB2312" w:hint="eastAsia"/>
          <w:bCs w:val="0"/>
          <w:sz w:val="30"/>
          <w:szCs w:val="30"/>
          <w:highlight w:val="none"/>
          <w:u w:val="none"/>
          <w:lang w:val="en-US" w:eastAsia="zh-CN"/>
        </w:rPr>
      </w:pPr>
      <w:bookmarkStart w:id="26" w:name="_Toc17600"/>
      <w:r>
        <w:rPr>
          <w:rFonts w:ascii="黑体" w:eastAsia="黑体" w:hAnsi="黑体" w:cs="方正仿宋_GB2312" w:hint="eastAsia"/>
          <w:bCs w:val="0"/>
          <w:sz w:val="30"/>
          <w:szCs w:val="30"/>
          <w:highlight w:val="none"/>
          <w:u w:val="none"/>
          <w:lang w:val="en-US" w:eastAsia="zh-CN"/>
        </w:rPr>
        <w:t xml:space="preserve">十一、政府采购支出情况说明</w:t>
      </w:r>
      <w:bookmarkEnd w:id="26"/>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疾病预防控制中心2025年政府采购支出总额87,135,062.60元，其中：政府采购货物支出47,371,055.30元、政府采购工程支出0.00元、政府采购服务支出39,764,007.30元。授予中小企业合同金额42,275,261.80元，占政府采购支出总额的48.52%，其中：授予小微企业合同金额27,204,712.00元，占政府采购支出总额的31.22%；货物采购授予中小企业合同金额占货物支出金额的36.16%，工程采购授予中小企业合同金额占工程支出金额的0.00%，服务采购授予中小企业合同金额占服务支出金额的63.23%。</w:t>
      </w:r>
    </w:p>
    <w:p>
      <w:pPr>
        <w:pStyle w:val="标题2"/>
        <w:spacing w:before="0" w:after="0" w:line="600" w:lineRule="exact"/>
        <w:ind w:firstLine="600" w:firstLineChars="200"/>
        <w:rPr>
          <w:rFonts w:ascii="黑体" w:eastAsia="黑体" w:hAnsi="黑体" w:hint="eastAsia"/>
          <w:b w:val="0"/>
          <w:sz w:val="30"/>
          <w:szCs w:val="30"/>
          <w:highlight w:val="none"/>
        </w:rPr>
      </w:pPr>
      <w:bookmarkStart w:id="27" w:name="_Toc20762"/>
      <w:r>
        <w:rPr>
          <w:rFonts w:ascii="黑体" w:eastAsia="黑体" w:hAnsi="黑体" w:cs="方正仿宋_GB2312" w:hint="eastAsia"/>
          <w:bCs w:val="0"/>
          <w:sz w:val="30"/>
          <w:szCs w:val="30"/>
          <w:highlight w:val="none"/>
          <w:u w:val="none"/>
          <w:lang w:val="en-US" w:eastAsia="zh-CN"/>
        </w:rPr>
        <w:t xml:space="preserve">十二、国有资产占有使用情况说明</w:t>
      </w:r>
      <w:bookmarkEnd w:id="27"/>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截至2025年12月31日，天津市疾病预防控制中心共有车辆38辆</w:t>
      </w:r>
      <w:r>
        <w:rPr>
          <w:rFonts w:eastAsia="仿宋_GB2312" w:hint="eastAsia"/>
          <w:sz w:val="30"/>
          <w:szCs w:val="30"/>
          <w:highlight w:val="none"/>
          <w:lang w:val="en-US" w:eastAsia="zh-CN"/>
        </w:rPr>
        <w:t xml:space="preserve">，其中：</w:t>
      </w:r>
      <w:r>
        <w:rPr>
          <w:rFonts w:eastAsia="仿宋_GB2312" w:hint="eastAsia"/>
          <w:sz w:val="30"/>
          <w:szCs w:val="30"/>
          <w:highlight w:val="none"/>
          <w:lang w:val="en-US" w:eastAsia="zh-CN"/>
        </w:rPr>
        <w:t xml:space="preserve">应急保障用车4辆、特种专业技术用车18辆、其他用车16辆</w:t>
      </w:r>
      <w:r>
        <w:rPr>
          <w:rFonts w:eastAsia="仿宋_GB2312" w:hint="eastAsia"/>
          <w:sz w:val="30"/>
          <w:szCs w:val="30"/>
          <w:highlight w:val="none"/>
          <w:lang w:val="en-US" w:eastAsia="zh-CN"/>
        </w:rPr>
        <w:t xml:space="preserve">，其他用车主要包括小轿车、小旅行车、中旅行车、洒水车</w:t>
      </w:r>
      <w:r>
        <w:rPr>
          <w:rFonts w:eastAsia="仿宋_GB2312" w:hint="eastAsia"/>
          <w:sz w:val="30"/>
          <w:szCs w:val="30"/>
          <w:highlight w:val="none"/>
          <w:lang w:val="en-US" w:eastAsia="zh-CN"/>
        </w:rPr>
        <w:t xml:space="preserve">。单价100万元以上的设备31台（套）。</w:t>
      </w:r>
    </w:p>
    <w:p>
      <w:pPr>
        <w:pStyle w:val="标题2"/>
        <w:spacing w:before="0" w:after="0" w:line="600" w:lineRule="exact"/>
        <w:ind w:firstLine="600" w:firstLineChars="200"/>
        <w:rPr>
          <w:rFonts w:ascii="黑体" w:eastAsia="黑体" w:hAnsi="黑体" w:cs="方正仿宋_GB2312" w:hint="eastAsia"/>
          <w:b/>
          <w:bCs w:val="0"/>
          <w:sz w:val="30"/>
          <w:szCs w:val="30"/>
          <w:highlight w:val="none"/>
          <w:u w:val="none"/>
          <w:lang w:val="en-US" w:eastAsia="zh-CN"/>
        </w:rPr>
      </w:pPr>
      <w:bookmarkStart w:id="28" w:name="_Toc12945"/>
      <w:r>
        <w:rPr>
          <w:rFonts w:ascii="黑体" w:eastAsia="黑体" w:hAnsi="黑体" w:cs="方正仿宋_GB2312" w:hint="eastAsia"/>
          <w:b/>
          <w:bCs w:val="0"/>
          <w:sz w:val="30"/>
          <w:szCs w:val="30"/>
          <w:highlight w:val="none"/>
          <w:u w:val="none"/>
          <w:lang w:val="en-US" w:eastAsia="zh-CN"/>
        </w:rPr>
        <w:t xml:space="preserve">十三、预算绩效情况说明</w:t>
      </w:r>
      <w:bookmarkEnd w:id="28"/>
    </w:p>
    <w:p>
      <w:pPr>
        <w:divId w:val="0"/>
        <w:spacing w:line="600" w:lineRule="exact"/>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    根据预算绩效管理要求,天津市疾病预防控制中心已对15个2025年度市级项目开展绩效自评,涉及金额24,557,140.40元,自评结果已随部门决算一并公开。</w:t>
      </w:r>
    </w:p>
    <w:p>
      <w:pPr>
        <w:pStyle w:val="标题2"/>
        <w:spacing w:before="0" w:after="0" w:line="600" w:lineRule="exact"/>
        <w:ind w:firstLine="600" w:firstLineChars="200"/>
        <w:rPr>
          <w:rFonts w:ascii="Times New Roman" w:eastAsia="黑体" w:hAnsi="Times New Roman"/>
          <w:b w:val="0"/>
          <w:sz w:val="30"/>
          <w:szCs w:val="30"/>
          <w:highlight w:val="none"/>
        </w:rPr>
      </w:pPr>
      <w:bookmarkStart w:id="29" w:name="_Toc20809"/>
      <w:r>
        <w:rPr>
          <w:rFonts w:ascii="黑体" w:eastAsia="黑体" w:hAnsi="黑体" w:cs="方正仿宋_GB2312" w:hint="eastAsia"/>
          <w:bCs w:val="0"/>
          <w:sz w:val="30"/>
          <w:szCs w:val="30"/>
          <w:highlight w:val="none"/>
          <w:u w:val="none"/>
          <w:lang w:val="en-US" w:eastAsia="zh-CN"/>
        </w:rPr>
        <w:t xml:space="preserve">十四、教育、医疗卫生、社会保障和就业、住房保障、涉农补贴等民生支出情况说明</w:t>
      </w:r>
      <w:bookmarkEnd w:id="29"/>
    </w:p>
    <w:p>
      <w:pPr>
        <w:divId w:val="0"/>
        <w:spacing w:line="600" w:lineRule="exact"/>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    天津市疾病预防控制中心不属于乡、镇、街级单位，不涉及公开2025年度教育、医疗卫生、社会保障和就业、住房保障、涉农补贴等民生支出情况。</w:t>
      </w:r>
    </w:p>
    <w:p>
      <w:pPr>
        <w:pStyle w:val="标题1"/>
        <w:spacing w:before="0" w:after="0" w:line="600" w:lineRule="exact"/>
        <w:jc w:val="center"/>
        <w:rPr>
          <w:rFonts w:ascii="方正小标宋简体" w:eastAsia="方正小标宋简体" w:hAnsi="方正小标宋简体" w:cs="方正小标宋简体" w:hint="eastAsia"/>
          <w:b w:val="0"/>
          <w:sz w:val="48"/>
          <w:szCs w:val="48"/>
          <w:highlight w:val="none"/>
        </w:rPr>
      </w:pPr>
      <w:r>
        <w:rPr>
          <w:rFonts w:ascii="方正小标宋简体" w:eastAsia="方正小标宋简体" w:hAnsi="方正小标宋简体" w:cs="方正小标宋简体" w:hint="eastAsia"/>
          <w:b w:val="0"/>
          <w:sz w:val="48"/>
          <w:szCs w:val="48"/>
          <w:highlight w:val="none"/>
        </w:rPr>
        <w:br w:type="page"/>
      </w:r>
    </w:p>
    <w:p>
      <w:pPr>
        <w:pStyle w:val="标题1"/>
        <w:spacing w:before="0" w:after="0" w:line="600" w:lineRule="exact"/>
        <w:jc w:val="center"/>
        <w:rPr>
          <w:rFonts w:ascii="方正小标宋简体" w:eastAsia="方正小标宋简体" w:hAnsi="方正小标宋简体" w:cs="方正小标宋简体"/>
          <w:b w:val="0"/>
          <w:sz w:val="44"/>
          <w:szCs w:val="44"/>
          <w:highlight w:val="none"/>
        </w:rPr>
      </w:pPr>
      <w:bookmarkStart w:id="30" w:name="_Toc26550"/>
      <w:r>
        <w:rPr>
          <w:rFonts w:ascii="方正小标宋简体" w:eastAsia="方正小标宋简体" w:hAnsi="方正小标宋简体" w:cs="方正小标宋简体" w:hint="eastAsia"/>
          <w:b w:val="0"/>
          <w:lang w:val="en-US" w:eastAsia="zh-CN"/>
        </w:rPr>
        <w:t xml:space="preserve">第四部分  名词解释</w:t>
      </w:r>
      <w:bookmarkEnd w:id="30"/>
    </w:p>
    <w:p>
      <w:pPr>
        <w:pStyle w:val="标题1"/>
        <w:spacing w:before="0" w:after="0" w:line="600" w:lineRule="exact"/>
        <w:jc w:val="center"/>
        <w:rPr>
          <w:rFonts w:ascii="方正小标宋简体" w:eastAsia="方正小标宋简体" w:hAnsi="方正小标宋简体" w:cs="方正小标宋简体" w:hint="eastAsia"/>
          <w:b w:val="0"/>
          <w:sz w:val="44"/>
          <w:szCs w:val="44"/>
          <w:highlight w:val="none"/>
        </w:rPr>
      </w:pP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部门决算。是指各部门依据国家有关法律法规规定及其履行职能情况编制，反映部门所有预算收支和结余执行结果及绩效等情况的综合性年度报告，是改进部门预算执行以及编制后续年度部门预算的参考和依据。</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机关运行经费。反映行政单位（含参照公务员管理事业单位）财政拨款基本支出中的公用经费支出，主要为保障行政单位（含参照公务员管理事业单位）运行用于购买货物和服务的各项资金，包括办公费、印刷费、水费、电费、邮电费、取暖费、物业管理费、差旅费、会议费、公务用车运行维护费以及其他费用。</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三</w:t>
      </w:r>
      <w:r>
        <w:rPr>
          <w:rFonts w:eastAsia="仿宋_GB2312" w:hint="eastAsia"/>
          <w:sz w:val="30"/>
          <w:szCs w:val="30"/>
          <w:highlight w:val="none"/>
          <w:lang w:val="en-US" w:eastAsia="zh-CN"/>
        </w:rPr>
        <w:t xml:space="preserve">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经费。是指各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牌照费）及燃料费、新能源汽车充电费、维修费、过桥过路费、保险费、安全奖励费用等支出；公务接待费反映单位按规定开支的各类公务接待（含外宾接待）支出</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 </w:t>
      </w:r>
    </w:p>
    <w:sectPr>
      <w:footerReference w:type="default" r:id="rId8"/>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default"/>
    <w:sig w:usb0="E0002EFF" w:usb1="C000785B" w:usb2="00000009" w:usb3="00000000" w:csb0="400001FF" w:csb1="FFFF0000"/>
  </w:font>
  <w:font w:name="宋体">
    <w:panose1 w:val="02010600030101010101"/>
    <w:charset w:val="FFFFFF86"/>
    <w:family w:val="auto"/>
    <w:pitch w:val="default"/>
    <w:sig w:usb0="00000203" w:usb1="288F0000" w:usb2="00000006" w:usb3="00000000" w:csb0="00040001" w:csb1="00000000"/>
    <w:embedRegular r:id="rId1" w:subsetted="1" w:fontKey="{B941047B-38F9-48D7-A839-A20474C6C90E}"/>
    <w:embedBold r:id="rId2" w:subsetted="1" w:fontKey="{A7AE7AF0-345B-4EFC-9B4E-648819A82E8E}"/>
  </w:font>
  <w:font w:name="Cambria">
    <w:panose1 w:val="02040503050406030204"/>
    <w:charset w:val="00"/>
    <w:family w:val="roman"/>
    <w:pitch w:val="default"/>
    <w:sig w:usb0="E00006FF" w:usb1="420024FF" w:usb2="02000000" w:usb3="00000000" w:csb0="2000019F" w:csb1="00000000"/>
    <w:embedRegular r:id="rId3" w:fontKey="{B52D3BEA-F4A9-469A-89BA-18EF0B2A7672}"/>
  </w:font>
  <w:font w:name="Calibri">
    <w:panose1 w:val="020F0502020204030204"/>
    <w:charset w:val="00"/>
    <w:family w:val="swiss"/>
    <w:pitch w:val="default"/>
    <w:sig w:usb0="E4002EFF" w:usb1="C200247B" w:usb2="00000009" w:usb3="00000000" w:csb0="200001FF" w:csb1="00000000"/>
    <w:embedRegular r:id="rId4" w:fontKey="{213A5322-5F4A-4926-9E02-05A592C75C15}"/>
  </w:font>
  <w:font w:name="黑体">
    <w:panose1 w:val="02010609060101010101"/>
    <w:charset w:val="FFFFFF86"/>
    <w:family w:val="auto"/>
    <w:pitch w:val="default"/>
    <w:sig w:usb0="800002BF" w:usb1="38CF7CFA" w:usb2="00000016" w:usb3="00000000" w:csb0="00040001" w:csb1="00000000"/>
    <w:embedRegular r:id="rId5" w:subsetted="1" w:fontKey="{752F252A-EC25-474C-8F96-F6DFE0916164}"/>
    <w:embedBold r:id="rId6" w:subsetted="1" w:fontKey="{F8E5290F-5F2D-4D13-A0AD-3D79837F0D30}"/>
  </w:font>
  <w:font w:name="方正小标宋简体">
    <w:altName w:val="黑体"/>
    <w:panose1 w:val="02000000000000000000"/>
    <w:charset w:val="FFFFFF86"/>
    <w:family w:val="auto"/>
    <w:pitch w:val="default"/>
    <w:sig w:usb0="00000001" w:usb1="08000000" w:usb2="00000000" w:usb3="00000000" w:csb0="00040000" w:csb1="00000000"/>
    <w:embedRegular r:id="rId7" w:fontKey="{D42A86A6-433E-496C-89E5-3B9F7886915E}"/>
    <w:embedBold r:id="rId8" w:fontKey="{63FB959A-E6A5-4A0E-8D83-9154C6AD9BCD}"/>
  </w:font>
  <w:font w:name="仿宋">
    <w:panose1 w:val="02010609060101010101"/>
    <w:charset w:val="FFFFFF86"/>
    <w:family w:val="auto"/>
    <w:pitch w:val="default"/>
    <w:sig w:usb0="800002BF" w:usb1="38CF7CFA" w:usb2="00000016" w:usb3="00000000" w:csb0="00040001" w:csb1="00000000"/>
    <w:embedRegular r:id="rId9" w:subsetted="1" w:fontKey="{D92FF9B0-8BA0-4451-A2D2-83380157C033}"/>
  </w:font>
  <w:font w:name="方正仿宋_GB2312">
    <w:altName w:val="仿宋"/>
    <w:panose1 w:val="02000000000000000000"/>
    <w:charset w:val="FFFFFF86"/>
    <w:family w:val="auto"/>
    <w:pitch w:val="default"/>
    <w:sig w:usb0="A00002BF" w:usb1="184F6CFA" w:usb2="00000012" w:usb3="00000000" w:csb0="00040001" w:csb1="00000000"/>
  </w:font>
  <w:font w:name="仿宋_GB2312">
    <w:altName w:val="仿宋"/>
    <w:panose1 w:val="02010609030101010101"/>
    <w:charset w:val="FFFFFF86"/>
    <w:family w:val="auto"/>
    <w:pitch w:val="default"/>
    <w:sig w:usb0="00000001" w:usb1="080E0000" w:usb2="00000000" w:usb3="00000000" w:csb0="00040000" w:csb1="00000000"/>
    <w:embedRegular r:id="rId10" w:fontKey="{55E3C2A5-C223-414E-9EDE-31F8BC6D1C32}"/>
  </w:font>
  <w:font w:name="方正楷体_GB2312">
    <w:altName w:val="宋体"/>
    <w:panose1 w:val="02000000000000000000"/>
    <w:charset w:val="FFFFFF86"/>
    <w:family w:val="auto"/>
    <w:pitch w:val="default"/>
    <w:sig w:usb0="A00002BF" w:usb1="184F6CFA" w:usb2="00000012" w:usb3="00000000" w:csb0="00040001" w:csb1="00000000"/>
  </w:font>
  <w:font w:name="等线">
    <w:panose1 w:val="02010600030101010101"/>
    <w:charset w:val="FFFFFF86"/>
    <w:family w:val="auto"/>
    <w:pitch w:val="default"/>
    <w:sig w:usb0="A00002BF" w:usb1="38CF7CFA" w:usb2="00000016" w:usb3="00000000" w:csb0="0004000F" w:csb1="00000000"/>
  </w:font>
  <w:font w:name="楷体">
    <w:panose1 w:val="02010609060101010101"/>
    <w:charset w:val="FFFFFF86"/>
    <w:family w:val="decorative"/>
    <w:pitch w:val="default"/>
    <w:sig w:usb0="800002BF" w:usb1="38CF7CFA" w:usb2="00000016" w:usb3="00000000" w:csb0="00040001" w:csb1="00000000"/>
    <w:embedRegular r:id="rId11" w:subsetted="1" w:fontKey="{EC5C0DE9-E3BB-4853-AD35-B807F35D61AC}"/>
    <w:embedBold r:id="rId12" w:subsetted="1" w:fontKey="{E10A67EC-1712-4890-A41F-F42132225A3F}"/>
  </w:font>
  <w:font w:name="Arial">
    <w:charset w:val="00"/>
    <w:family w:val="auto"/>
    <w:pitch w:val="default"/>
  </w:font>
  <w:font w:name="方正仿宋">
    <w:charset w:val="01"/>
    <w:family w:val="auto"/>
    <w:pitch w:val="default"/>
  </w:font>
  <w:font w:name="方正楷体">
    <w:charset w:val="01"/>
    <w:family w:val="auto"/>
    <w:pitch w:val="default"/>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6" o:spid="_x0000_s2049" type="#_x0000_t202" style="width:2in;height:2in;margin-top:0;margin-left:0;mso-position-horizontal:center;mso-position-horizontal-relative:margin;mso-wrap-style:none;position:absolute;z-index:251658240"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4</w:t>
                </w:r>
                <w:r>
                  <w:fldChar w:fldCharType="end"/>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7" o:spid="_x0000_s2050" type="#_x0000_t202" style="width:2in;height:2in;margin-top:0;margin-left:0;mso-position-horizontal:center;mso-position-horizontal-relative:margin;mso-wrap-style:none;position:absolute;z-index:251659264"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8</w:t>
                </w:r>
                <w:r>
                  <w:fldChar w:fldCharType="end"/>
                </w:r>
              </w:p>
            </w:txbxContent>
          </v:textbox>
          <w10:wrap anchorx="margin"/>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8" o:spid="_x0000_s2051" type="#_x0000_t202" style="width:2in;height:2in;margin-top:0;margin-left:0;mso-position-horizontal:center;mso-position-horizontal-relative:margin;mso-wrap-style:none;position:absolute;z-index:251660288"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28</w:t>
                </w:r>
                <w:r>
                  <w:fldChar w:fldCharType="end"/>
                </w:r>
              </w:p>
            </w:txbxContent>
          </v:textbox>
          <w10:wrap anchorx="margin"/>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7" o:spid="_x0000_s2052" type="#_x0000_t202" style="width:2in;height:2in;margin-top:0;margin-left:0;mso-position-horizontal:center;mso-position-horizontal-relative:margin;mso-wrap-style:none;position:absolute;z-index:251661312"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38</w:t>
                </w:r>
                <w:r>
                  <w:fldChar w:fldCharType="end"/>
                </w:r>
              </w:p>
            </w:txbxContent>
          </v:textbox>
          <w10:wrap anchorx="margin"/>
        </v:shape>
      </w:pic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TrueTypeFonts/>
  <w:bordersDoNotSurroundFooter w:val="0"/>
  <w:bordersDoNotSurroundHeader w:val="0"/>
  <w:stylePaneFormatFilter w:val="3F01"/>
  <w:doNotTrackMoves/>
  <w:defaultTabStop w:val="420.0"/>
  <w:drawingGridVerticalSpacing w:val="156"/>
  <w:noPunctuationKerning/>
  <w:characterSpacingControl w:val="compressPunctuation"/>
  <w:noLineBreaksAfter w:lang="en-US" w:val="([{·‘“〈《「『【〔〖（．［｛￡￥"/>
  <w:noLineBreaksBefore w:lang="en-US" w:val="!),.:;?]}¨·ˇˉ―‖’”…∶、。〃々〉》」』】〕〗！＂＇），．：；？］｀｜｝～￠"/>
  <w:endnotePr>
    <w:numFmt w:val="decimal"/>
  </w:endnotePr>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s>
  <w:docVars>
    <w:docVar w:name="commondata" w:val="eyJoZGlkIjoiOTM0ZDdjZmNhMDU3OGRjODI0Y2FhODMxNDQzMzM1NjMifQ=="/>
  </w:docVars>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qFormat="1"/>
    <w:lsdException w:name="header" w:semiHidden="0" w:uiPriority="0"/>
    <w:lsdException w:name="footer" w:semiHidden="0" w:uiPriority="0" w:qFormat="1"/>
    <w:lsdException w:name="caption" w:uiPriority="35" w:qFormat="1"/>
    <w:lsdException w:name="Title" w:semiHidden="0" w:uiPriority="10" w:unhideWhenUsed="0" w:qFormat="1"/>
    <w:lsdException w:name="Default Paragraph Font" w:semiHidden="0" w:uiPriority="0"/>
    <w:lsdException w:name="Body Text Indent" w:semiHidden="0" w:qFormat="1"/>
    <w:lsdException w:name="Subtitle" w:semiHidden="0" w:uiPriority="11" w:unhideWhenUsed="0" w:qFormat="1"/>
    <w:lsdException w:name="Body Text First Indent 2" w:semiHidden="0" w:qFormat="1"/>
    <w:lsdException w:name="Hyperlink" w:semiHidden="0"/>
    <w:lsdException w:name="Strong" w:semiHidden="0" w:uiPriority="22" w:unhideWhenUsed="0" w:qFormat="1"/>
    <w:lsdException w:name="Emphasis" w:semiHidden="0" w:uiPriority="20" w:unhideWhenUsed="0" w:qFormat="1"/>
    <w:lsdException w:name="Normal (Web)" w:semiHidden="0" w:qFormat="1"/>
    <w:lsdException w:name="Normal Table" w:semiHidden="0"/>
    <w:lsdException w:name="Balloon Text" w:semiHidden="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divId w:val="0"/>
      <w:widowControl w:val="0"/>
      <w:adjustRightInd w:val="0"/>
      <w:spacing w:line="360" w:lineRule="atLeast"/>
      <w:textAlignment w:val="baseline"/>
    </w:pPr>
    <w:rPr>
      <w:rFonts w:ascii="Times New Roman" w:eastAsia="宋体" w:hAnsi="Times New Roman" w:cs="Times New Roman"/>
      <w:sz w:val="24"/>
      <w:lang w:val="en-US" w:eastAsia="zh-CN" w:bidi="ar-SA"/>
    </w:rPr>
  </w:style>
  <w:style w:type="paragraph" w:styleId="标题1">
    <w:name w:val="标题 1"/>
    <w:basedOn w:val="Normal"/>
    <w:next w:val="Normal"/>
    <w:link w:val="标题1Char"/>
    <w:uiPriority w:val="9"/>
    <w:qFormat/>
    <w:pPr>
      <w:keepNext/>
      <w:keepLines/>
      <w:spacing w:before="340" w:after="330" w:line="578" w:lineRule="atLeast"/>
      <w:outlineLvl w:val="0"/>
    </w:pPr>
    <w:rPr>
      <w:b/>
      <w:bCs/>
      <w:kern w:val="44.0"/>
      <w:sz w:val="44"/>
      <w:szCs w:val="44"/>
    </w:rPr>
  </w:style>
  <w:style w:type="paragraph" w:styleId="标题2">
    <w:name w:val="标题 2"/>
    <w:basedOn w:val="Normal"/>
    <w:next w:val="Normal"/>
    <w:link w:val="标题2Char"/>
    <w:uiPriority w:val="9"/>
    <w:unhideWhenUsed/>
    <w:qFormat/>
    <w:pPr>
      <w:keepNext/>
      <w:keepLines/>
      <w:spacing w:before="260" w:after="260" w:line="416" w:lineRule="atLeast"/>
      <w:outlineLvl w:val="1"/>
    </w:pPr>
    <w:rPr>
      <w:rFonts w:ascii="Cambria" w:eastAsia="宋体" w:hAnsi="Cambria" w:cs="Times New Roman"/>
      <w:b/>
      <w:bCs/>
      <w:sz w:val="32"/>
      <w:szCs w:val="32"/>
    </w:rPr>
  </w:style>
  <w:style w:type="paragraph" w:styleId="标题3">
    <w:name w:val="标题 3"/>
    <w:basedOn w:val="Normal"/>
    <w:next w:val="Normal"/>
    <w:link w:val="标题3Char"/>
    <w:uiPriority w:val="9"/>
    <w:unhideWhenUsed/>
    <w:qFormat/>
    <w:pPr>
      <w:keepNext/>
      <w:keepLines/>
      <w:spacing w:before="260" w:after="260" w:line="416" w:lineRule="atLeast"/>
      <w:outlineLvl w:val="2"/>
    </w:pPr>
    <w:rPr>
      <w:b/>
      <w:bCs/>
      <w:sz w:val="32"/>
      <w:szCs w:val="32"/>
    </w:rPr>
  </w:style>
  <w:style w:type="character" w:default="1" w:styleId="DefaultParagraphFont">
    <w:name w:val="Default Paragraph Font"/>
    <w:unhideWhenUsed/>
  </w:style>
  <w:style w:type="table" w:styleId="普通表格">
    <w:name w:val="普通表格"/>
    <w:uiPriority w:val="99"/>
    <w:unhideWhenUsed/>
    <w:tblP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
  </w:style>
  <w:style w:type="character" w:styleId="标题1Char">
    <w:name w:val="标题 1 Char"/>
    <w:link w:val="标题1"/>
    <w:uiPriority w:val="9"/>
    <w:rPr>
      <w:b/>
      <w:bCs/>
      <w:kern w:val="44.0"/>
      <w:sz w:val="44"/>
      <w:szCs w:val="44"/>
    </w:rPr>
  </w:style>
  <w:style w:type="character" w:styleId="标题2Char">
    <w:name w:val="标题 2 Char"/>
    <w:link w:val="标题2"/>
    <w:uiPriority w:val="9"/>
    <w:semiHidden/>
    <w:rPr>
      <w:rFonts w:ascii="Cambria" w:eastAsia="宋体" w:hAnsi="Cambria" w:cs="Times New Roman"/>
      <w:b/>
      <w:bCs/>
      <w:sz w:val="32"/>
      <w:szCs w:val="32"/>
    </w:rPr>
  </w:style>
  <w:style w:type="character" w:styleId="标题3Char">
    <w:name w:val="标题 3 Char"/>
    <w:link w:val="标题3"/>
    <w:uiPriority w:val="9"/>
    <w:semiHidden/>
    <w:rPr>
      <w:b/>
      <w:bCs/>
      <w:sz w:val="32"/>
      <w:szCs w:val="32"/>
    </w:rPr>
  </w:style>
  <w:style w:type="paragraph" w:styleId="正文文本缩进">
    <w:name w:val="正文文本缩进"/>
    <w:basedOn w:val="Normal"/>
    <w:next w:val="正文首行缩进2"/>
    <w:uiPriority w:val="99"/>
    <w:unhideWhenUsed/>
    <w:qFormat/>
    <w:pPr>
      <w:spacing w:after="120"/>
      <w:ind w:left="420" w:leftChars="200"/>
      <w:jc w:val="left"/>
    </w:pPr>
    <w:rPr>
      <w:rFonts w:ascii="宋体" w:hAnsi="宋体" w:cs="宋体"/>
      <w:kern w:val="0.0"/>
      <w:sz w:val="24"/>
      <w:lang w:val="en-US" w:eastAsia="zh-CN"/>
    </w:rPr>
  </w:style>
  <w:style w:type="paragraph" w:styleId="正文首行缩进2">
    <w:name w:val="正文首行缩进 2"/>
    <w:basedOn w:val="正文文本缩进"/>
    <w:next w:val="Normal"/>
    <w:uiPriority w:val="99"/>
    <w:unhideWhenUsed/>
    <w:qFormat/>
    <w:pPr>
      <w:ind w:left="420" w:firstLine="420" w:firstLineChars="200"/>
      <w:jc w:val="left"/>
    </w:pPr>
    <w:rPr>
      <w:lang w:val="en-US" w:eastAsia="zh-CN"/>
    </w:rPr>
  </w:style>
  <w:style w:type="paragraph" w:styleId="目录3">
    <w:name w:val="目录 3"/>
    <w:basedOn w:val="Normal"/>
    <w:next w:val="Normal"/>
    <w:uiPriority w:val="39"/>
    <w:unhideWhenUsed/>
    <w:qFormat/>
    <w:pPr>
      <w:widowControl/>
      <w:adjustRightInd/>
      <w:spacing w:after="100" w:line="276" w:lineRule="auto"/>
      <w:ind w:left="440"/>
      <w:textAlignment w:val="auto"/>
    </w:pPr>
    <w:rPr>
      <w:rFonts w:ascii="Calibri" w:eastAsia="宋体" w:hAnsi="Calibri" w:cs="Times New Roman"/>
      <w:sz w:val="22"/>
      <w:szCs w:val="22"/>
    </w:rPr>
  </w:style>
  <w:style w:type="paragraph" w:styleId="批注框文本">
    <w:name w:val="批注框文本"/>
    <w:basedOn w:val="Normal"/>
    <w:link w:val="批注框文本Char"/>
    <w:uiPriority w:val="99"/>
    <w:unhideWhenUsed/>
    <w:pPr>
      <w:spacing w:line="240" w:lineRule="auto"/>
    </w:pPr>
    <w:rPr>
      <w:sz w:val="18"/>
      <w:szCs w:val="18"/>
    </w:rPr>
  </w:style>
  <w:style w:type="character" w:styleId="批注框文本Char">
    <w:name w:val="批注框文本 Char"/>
    <w:link w:val="批注框文本"/>
    <w:uiPriority w:val="99"/>
    <w:semiHidden/>
    <w:rPr>
      <w:sz w:val="18"/>
      <w:szCs w:val="18"/>
    </w:rPr>
  </w:style>
  <w:style w:type="paragraph" w:styleId="页脚">
    <w:name w:val="页脚"/>
    <w:basedOn w:val="Normal"/>
    <w:link w:val="页脚Char"/>
    <w:unhideWhenUsed/>
    <w:qFormat/>
    <w:pPr>
      <w:tabs>
        <w:tab w:val="center" w:pos="4153"/>
        <w:tab w:val="right" w:pos="8306"/>
      </w:tabs>
      <w:snapToGrid w:val="0"/>
      <w:spacing w:line="240" w:lineRule="atLeast"/>
    </w:pPr>
    <w:rPr>
      <w:sz w:val="18"/>
      <w:szCs w:val="18"/>
    </w:rPr>
  </w:style>
  <w:style w:type="character" w:styleId="页脚Char">
    <w:name w:val="页脚 Char"/>
    <w:link w:val="页脚"/>
    <w:semiHidden/>
    <w:rPr>
      <w:sz w:val="18"/>
      <w:szCs w:val="18"/>
    </w:rPr>
  </w:style>
  <w:style w:type="paragraph" w:styleId="页眉">
    <w:name w:val="页眉"/>
    <w:basedOn w:val="Normal"/>
    <w:link w:val="页眉Char"/>
    <w:unhideWhenUsed/>
    <w:pPr>
      <w:pBdr>
        <w:bottom w:val="single" w:sz="6" w:space="1" w:color="auto"/>
      </w:pBdr>
      <w:tabs>
        <w:tab w:val="center" w:pos="4153"/>
        <w:tab w:val="right" w:pos="8306"/>
      </w:tabs>
      <w:snapToGrid w:val="0"/>
      <w:spacing w:line="240" w:lineRule="atLeast"/>
      <w:jc w:val="center"/>
    </w:pPr>
    <w:rPr>
      <w:sz w:val="18"/>
      <w:szCs w:val="18"/>
    </w:rPr>
  </w:style>
  <w:style w:type="character" w:styleId="页眉Char">
    <w:name w:val="页眉 Char"/>
    <w:link w:val="页眉"/>
    <w:semiHidden/>
    <w:rPr>
      <w:sz w:val="18"/>
      <w:szCs w:val="18"/>
    </w:rPr>
  </w:style>
  <w:style w:type="paragraph" w:styleId="目录1">
    <w:name w:val="目录 1"/>
    <w:basedOn w:val="Normal"/>
    <w:next w:val="Normal"/>
    <w:uiPriority w:val="39"/>
    <w:unhideWhenUsed/>
    <w:qFormat/>
    <w:pPr>
      <w:widowControl/>
      <w:tabs>
        <w:tab w:val="right" w:leader="dot" w:pos="8296"/>
      </w:tabs>
      <w:adjustRightInd/>
      <w:spacing w:after="100" w:line="276" w:lineRule="auto"/>
      <w:textAlignment w:val="auto"/>
    </w:pPr>
    <w:rPr>
      <w:rFonts w:ascii="黑体" w:eastAsia="黑体" w:hAnsi="黑体" w:cs="方正小标宋简体"/>
      <w:sz w:val="22"/>
      <w:szCs w:val="22"/>
    </w:rPr>
  </w:style>
  <w:style w:type="paragraph" w:styleId="脚注文本">
    <w:name w:val="脚注文本"/>
    <w:basedOn w:val="Normal"/>
    <w:next w:val="正文首行缩进2"/>
    <w:semiHidden/>
    <w:qFormat/>
    <w:pPr>
      <w:snapToGrid w:val="0"/>
      <w:jc w:val="left"/>
    </w:pPr>
    <w:rPr>
      <w:sz w:val="18"/>
      <w:szCs w:val="18"/>
      <w:lang w:val="en-US" w:eastAsia="zh-CN"/>
    </w:rPr>
  </w:style>
  <w:style w:type="paragraph" w:styleId="目录2">
    <w:name w:val="目录 2"/>
    <w:basedOn w:val="Normal"/>
    <w:next w:val="Normal"/>
    <w:uiPriority w:val="39"/>
    <w:unhideWhenUsed/>
    <w:qFormat/>
    <w:pPr>
      <w:widowControl/>
      <w:adjustRightInd/>
      <w:spacing w:after="100" w:line="276" w:lineRule="auto"/>
      <w:ind w:left="220"/>
      <w:textAlignment w:val="auto"/>
    </w:pPr>
    <w:rPr>
      <w:rFonts w:ascii="Calibri" w:eastAsia="宋体" w:hAnsi="Calibri" w:cs="Times New Roman"/>
      <w:sz w:val="22"/>
      <w:szCs w:val="22"/>
    </w:rPr>
  </w:style>
  <w:style w:type="paragraph" w:styleId="普通(网站)">
    <w:name w:val="普通(网站)"/>
    <w:basedOn w:val="Normal"/>
    <w:uiPriority w:val="99"/>
    <w:unhideWhenUsed/>
    <w:qFormat/>
    <w:rPr>
      <w:sz w:val="24"/>
    </w:rPr>
  </w:style>
  <w:style w:type="character" w:styleId="Hyperlink">
    <w:name w:val="超链接"/>
    <w:uiPriority w:val="99"/>
    <w:unhideWhenUsed/>
    <w:rPr>
      <w:color w:val="0000FF"/>
      <w:u w:val="single"/>
    </w:rPr>
  </w:style>
  <w:style w:type="paragraph" w:styleId="TOC标题">
    <w:name w:val="TOC 标题"/>
    <w:basedOn w:val="标题1"/>
    <w:next w:val="Normal"/>
    <w:uiPriority w:val="39"/>
    <w:unhideWhenUsed/>
    <w:qFormat/>
    <w:pPr>
      <w:widowControl/>
      <w:adjustRightInd/>
      <w:spacing w:before="480" w:after="0" w:line="276" w:lineRule="auto"/>
      <w:textAlignment w:val="auto"/>
      <w:outlineLvl w:val="9"/>
    </w:pPr>
    <w:rPr>
      <w:rFonts w:ascii="Cambria" w:eastAsia="宋体" w:hAnsi="Cambria" w:cs="Times New Roman"/>
      <w:color w:val="365F91"/>
      <w:kern w:val="0.0"/>
      <w:sz w:val="28"/>
      <w:szCs w:val="28"/>
    </w:rPr>
  </w:style>
  <w:style w:type="character" w:styleId="font41">
    <w:name w:val="font41"/>
    <w:basedOn w:val="DefaultParagraphFont"/>
    <w:qFormat/>
    <w:rPr>
      <w:rFonts w:ascii="宋体" w:eastAsia="宋体" w:hAnsi="宋体" w:cs="宋体" w:hint="eastAsia"/>
      <w:color w:val="000000"/>
      <w:sz w:val="20"/>
      <w:szCs w:val="20"/>
      <w:u w:val="none"/>
    </w:rPr>
  </w:style>
  <w:style w:type="character" w:styleId="font11">
    <w:name w:val="font11"/>
    <w:basedOn w:val="DefaultParagraphFont"/>
    <w:qFormat/>
    <w:rPr>
      <w:rFonts w:ascii="宋体" w:eastAsia="宋体" w:hAnsi="宋体" w:cs="宋体" w:hint="eastAsia"/>
      <w:color w:val="000000"/>
      <w:sz w:val="22"/>
      <w:szCs w:val="22"/>
      <w:u w:val="none"/>
    </w:rPr>
  </w:style>
  <w:style w:type="table" w:styleId="普通表格1">
    <w:name w:val="普通表格1"/>
    <w:uiPriority w:val="99"/>
    <w:unhideWhenUsed/>
    <w:tblPr>
      <w:tblCellMar>
        <w:top w:w="0" w:type="dxa"/>
        <w:left w:w="108" w:type="dxa"/>
        <w:bottom w:w="0" w:type="dxa"/>
        <w:right w:w="108" w:type="dxa"/>
      </w:tblCellMar>
    </w:tblPr>
  </w:style>
  <w:style w:type="table" w:default="1" w:styleId="NormalTable">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NormalTabl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11" Type="http://schemas.openxmlformats.org/officeDocument/2006/relationships/fontTable" Target="fontTable.xml" /><Relationship Id="rId2" Type="http://schemas.openxmlformats.org/officeDocument/2006/relationships/webSettings" Target="webSettings.xml" /><Relationship Id="rId3" Type="http://schemas.openxmlformats.org/officeDocument/2006/relationships/customXml" Target="../customXml/item1.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theme" Target="theme/theme1.xml" /></Relationships>
</file>

<file path=word/_rels/fontTable.xml.rels>&#65279;<?xml version="1.0" encoding="utf-8" standalone="yes"?><Relationships xmlns="http://schemas.openxmlformats.org/package/2006/relationships"><Relationship Id="rId1" Type="http://schemas.openxmlformats.org/officeDocument/2006/relationships/font" Target="fonts/font0.odttf" /><Relationship Id="rId10" Type="http://schemas.openxmlformats.org/officeDocument/2006/relationships/font" Target="fonts/font9.odttf" /><Relationship Id="rId11" Type="http://schemas.openxmlformats.org/officeDocument/2006/relationships/font" Target="fonts/font10.odttf" /><Relationship Id="rId12" Type="http://schemas.openxmlformats.org/officeDocument/2006/relationships/font" Target="fonts/font11.odttf" /><Relationship Id="rId2" Type="http://schemas.openxmlformats.org/officeDocument/2006/relationships/font" Target="fonts/font1.odttf" /><Relationship Id="rId3" Type="http://schemas.openxmlformats.org/officeDocument/2006/relationships/font" Target="fonts/font2.odttf" /><Relationship Id="rId4" Type="http://schemas.openxmlformats.org/officeDocument/2006/relationships/font" Target="fonts/font3.odttf" /><Relationship Id="rId5" Type="http://schemas.openxmlformats.org/officeDocument/2006/relationships/font" Target="fonts/font4.odttf" /><Relationship Id="rId6" Type="http://schemas.openxmlformats.org/officeDocument/2006/relationships/font" Target="fonts/font5.odttf" /><Relationship Id="rId7" Type="http://schemas.openxmlformats.org/officeDocument/2006/relationships/font" Target="fonts/font6.odttf" /><Relationship Id="rId8" Type="http://schemas.openxmlformats.org/officeDocument/2006/relationships/font" Target="fonts/font7.odttf" /><Relationship Id="rId9" Type="http://schemas.openxmlformats.org/officeDocument/2006/relationships/font" Target="fonts/font8.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E151D0DB37EA4C6BB556C7F4BC7BE980_13</vt:lpwstr>
  </property>
  <property fmtid="{D5CDD505-2E9C-101B-9397-08002B2CF9AE}" pid="4" name="KSOTemplateDocerSaveRecord">
    <vt:lpwstr>eyJoZGlkIjoiMGMwOGFkMDkyMGVjOWVjMzc0YjBmOTUwNDI2MGMxYmMiLCJ1c2VySWQiOiI4ODc2NjQ3MTcifQ_x003D__x003D_</vt:lpwstr>
  </property>
</Properties>
</file>

<file path=customXml/itemProps1.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Normal.dot</Template>
  <Pages>41</Pages>
  <Words>11720</Words>
  <Characters>62073</Characters>
  <Application>WPS Office_12.1.0.28043_F1E327BC-269C-435d-A152-05C5408002CA</Application>
  <DocSecurity>0</DocSecurity>
  <Lines>60</Lines>
  <Paragraphs>16</Paragraphs>
  <ScaleCrop>false</ScaleCrop>
  <Company>Microsoft</Company>
  <LinksUpToDate>false</LinksUpToDate>
  <CharactersWithSpaces>63178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附件1</dc:title>
  <dc:creator>Administrator</dc:creator>
  <cp:lastModifiedBy>听鸣</cp:lastModifiedBy>
  <cp:revision>1</cp:revision>
  <cp:lastPrinted>2025-06-25T07:52:17Z</cp:lastPrinted>
  <dcterms:created xsi:type="dcterms:W3CDTF">2019-07-27T18:37:00Z</dcterms:created>
  <dcterms:modified xsi:type="dcterms:W3CDTF">2026-08-26T09:19:43Z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E151D0DB37EA4C6BB556C7F4BC7BE980_13</vt:lpwstr>
  </property>
  <property fmtid="{D5CDD505-2E9C-101B-9397-08002B2CF9AE}" pid="4" name="KSOTemplateDocerSaveRecord">
    <vt:lpwstr>eyJoZGlkIjoiMGMwOGFkMDkyMGVjOWVjMzc0YjBmOTUwNDI2MGMxYmMiLCJ1c2VySWQiOiI4ODc2NjQ3MTcifQ_x003D__x003D_</vt:lpwstr>
  </property>
</Properties>
</file>