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天津市结核病控制中心</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（一）全市结核病控制工作 1、协助政府制定我市结核病控制规划、工作计划、实施方案和年度计划，并组织实施。 2、对全市结核病防治工作进行技术指导，组织年度结核病防治工作检查与考评。 3、负责全市结核病人登记报告和监测，完成和上报各项工作报告和报表，掌握并分析疫情动态。 4、核查、指导和评价结核病人发现和治疗管理，落实短程督导化疗，加强全市痰菌检查的质量控制。 5、承担市级监测医院的结核病归口管理工作。 6、开展对各区、县结核病防治机构业务人员和医疗保健单位有关人员的培训和健康教育，组织社会学评价。 7、实施全市结核病健康教育策略的制定、评价和推广应用。 8、负责全市抗结核药物的计划与供应。 9、开展实施性研究。 10、承担和平区结核病防治工作。 （二）临床工作 1、开设肺结核、肺外结核门诊，对可疑肺结核病人进行确诊及 确诊结核病人的治疗管理。 2、全市部分大中小学生和监狱系统的体检工作。 3、临床检验工作。 （三）科研教学工作 1、承担国际结核病与肺部疾病联合会合作临床中心的研究工作。 2、接受世界卫生组织派来的各国研修生的培训，承担对西太平洋地区结核专业技术人员的培训工作。 3、承担天津市结核病防治系统继续教育、天津医科大学公共卫生教学基地任务</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天津市结核病控制中心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天津市结核病控制中心本级。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天津市结核病控制中心</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26322628.10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20682920.51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1662000.00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46304929.13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1106642.06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48112190.67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47966929.13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15783.91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649844.85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779322.48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649844.85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48762035.52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48762035.52</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48112190.67</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26322628.10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20682920.51</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1106642.06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1662000.00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1662000.00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1512000.00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1512000.00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46450190.67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24660628.10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20682920.51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1106642.06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45820190.67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24030628.10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20682920.51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1106642.06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疾病预防控制机构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31400962.57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9611400.00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20682920.51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1106642.06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3212228.10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3212228.10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其他公共卫生支出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11207000.00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11207000.00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天津市结核病控制中心</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48762035.52</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48112190.67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26322628.10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20682920.51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1106642.06</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369202</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天津市结核病控制中心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48762035.52</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48112190.67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26322628.10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20682920.51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1106642.06</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天津市结核病控制中心</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649844.85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649844.85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649844.85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369202</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天津市结核病控制中心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649844.85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649844.85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649844.85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47966929.13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33377178.66</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14589750.47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1662000.00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46304929.13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31865178.66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14439750.47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45674929.13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31235178.66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14439750.47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疾病预防控制机构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31255701.03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31235178.66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20522.37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3212228.10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3212228.10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其他公共卫生支出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11207000.00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11207000.00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1662000.00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1662000.00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24660628.10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24660628.10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26322628.10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天津市结核病控制中心</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26322628.10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11753400.00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10823200.00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930200.00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14569228.10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24660628.10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10241400.00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9311200.00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930200.00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14419228.10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24030628.10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9611400.00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8681200.00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930200.00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14419228.10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疾病预防控制机构</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9611400.00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9611400.00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8681200.00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930200.00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3212228.10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3212228.10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其他公共卫生支出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11207000.00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11207000.00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10491200.00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930200.00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2997700.00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1240000.00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2885500.00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529000.00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725000.00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157200.00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10823200.00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930200.00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天津市结核病控制中心2025年度政府性基金预算财政拨款收入支出决算表为空表。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天津市结核病控制中心2025年度国有资本经营预算财政拨款收入支出决算表为空表。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天津市结核病控制中心2025年财政拨款“三公”经费支出决算表为空表。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天津市结核病控制中心</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14589750.47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14569228.10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20522.37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14439750.47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14419228.10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20522.37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14439750.47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14419228.10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20522.37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疾病预防控制机构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20522.37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20522.37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疾病预防控制机构1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20522.37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20522.37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3212228.10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3212228.10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3212228.10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3212228.10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其他公共卫生支出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11207000.00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11207000.00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其他公共卫生支出1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11187000.00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11187000.00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现场流行病学培训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48,762,035.52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增加1,698,766.18元，增长3.61%</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结核病事业发展需要财政增加项目资金投入</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一般公共预算财政拨款收入26,322,628.10元、事业收入20,682,920.51元、其他收入1,106,642.06元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社会保障和就业支出1,662,000.00元、卫生健康支出46,304,929.13元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天津市结核病控制中心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48,112,190.67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增加1,521,643.50元，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基本工资增资及财政加大对结核病项目资金投入</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一般公共预算财政拨款收入26,322,628.10元，占54.71%；事业收入20,682,920.51元，占42.99%；其他收入1,106,642.06元，占2.30%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天津市结核病控制中心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47,966,929.13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增加3,099,176.38元，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事业发展需要</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基本支出33,377,178.66元，占69.58%；项目支出14,589,750.47元，占30.42%</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26,322,628.10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增加2,156,306.63元，增长8.92%，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基本工资增资及财政加大对结核病项目资金投入</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一般公共预算财政拨款26,322,628.10元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社会保障和就业支出1,662,000.00元、卫生健康支出24,660,628.10元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天津市结核病控制中心2025年度一般公共预算财政拨款支出合计26,322,628.10元，占本年支出合计的54.88%。与2024年度相比，一般公共预算财政拨款支出</w:t>
      </w:r>
      <w:r>
        <w:rPr>
          <w:rFonts w:eastAsia="仿宋_GB2312" w:hint="eastAsia"/>
          <w:sz w:val="30"/>
          <w:szCs w:val="30"/>
          <w:highlight w:val="none"/>
          <w:lang w:val="en-US" w:eastAsia="zh-CN"/>
        </w:rPr>
        <w:t xml:space="preserve">增加2,156,306.63元</w:t>
      </w:r>
      <w:r>
        <w:rPr>
          <w:rFonts w:eastAsia="仿宋_GB2312" w:hint="eastAsia"/>
          <w:sz w:val="30"/>
          <w:szCs w:val="30"/>
          <w:highlight w:val="none"/>
          <w:lang w:val="en-US" w:eastAsia="zh-CN"/>
        </w:rPr>
        <w:t xml:space="preserve">，增长8.92%</w:t>
      </w:r>
      <w:r>
        <w:rPr>
          <w:rFonts w:eastAsia="仿宋_GB2312" w:hint="eastAsia"/>
          <w:sz w:val="30"/>
          <w:szCs w:val="30"/>
          <w:highlight w:val="none"/>
          <w:lang w:val="en-US" w:eastAsia="zh-CN"/>
        </w:rPr>
        <w:t xml:space="preserve">，主要原因是基本工资增资及财政加大对结核病项目资金投入。</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2025年度一般公共预算财政拨款支出26,322,628.10元，主要用于以下方面：</w:t>
      </w:r>
      <w:r>
        <w:rPr>
          <w:rFonts w:eastAsia="仿宋_GB2312" w:hint="eastAsia"/>
          <w:sz w:val="30"/>
          <w:szCs w:val="30"/>
          <w:highlight w:val="none"/>
        </w:rPr>
        <w:t xml:space="preserve">社会保障和就业支出（类）支出1,662,000.00元，占6.31%，卫生健康支出（类）支出24,660,628.10元，占93.69%</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2025年度一般公共预算财政拨款支出年初预算为26,479,800.00元，支出决算为26,322,628.10元</w:t>
      </w:r>
      <w:r>
        <w:rPr>
          <w:rFonts w:eastAsia="仿宋_GB2312" w:hint="eastAsia"/>
          <w:sz w:val="30"/>
          <w:szCs w:val="30"/>
          <w:highlight w:val="none"/>
          <w:lang w:val="en-US" w:eastAsia="zh-CN"/>
        </w:rPr>
        <w:t xml:space="preserve">，完成年初预算的99.41%</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1.社会保障和就业支出（类）人力资源和社会保障管理事务（款）引进人才费用（项）年初预算为0.00元，支出决算为150,000.00元，决算数大于年初预算数的主要原因是：年中追加引进人才费用。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基本养老保险缴费支出（项）年初预算为1,008,000.00元，支出决算为1,008,000.00元，完成年初预算的100.00%，决算数与年初预算数持平的主要原因是：全部完成。</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职业年金缴费支出（项）年初预算为504,000.00元，支出决算为504,000.00元，完成年初预算的100.00%，决算数与年初预算数持平的主要原因是：全部完成。</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4.卫生健康支出（类）公共卫生（款）疾病预防控制机构（项）年初预算为9,003,000.00元，支出决算为9,611,400.00元，完成年初预算的106.76%，决算数大于年初预算数的主要原因是：人员动态调整。</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5.卫生健康支出（类）公共卫生（款）重大公共卫生服务（项）年初预算为4,147,800.00元，支出决算为3,212,228.10元，完成年初预算的77.44%，决算数小于年初预算数的主要原因是：项目周期原因。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6.卫生健康支出（类）公共卫生（款）其他公共卫生支出（项）年初预算为11,187,000.00元，支出决算为11,207,000.00元，完成年初预算的100.18%，决算数大于年初预算数的主要原因是：年中追加现场流行病学项目。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7.卫生健康支出（类）行政事业单位医疗（款）事业单位医疗（项）年初预算为529,000.00元，支出决算为529,000.00元，完成年初预算的100.00%，决算数与年初预算数持平的主要原因是：全部完成。</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8.卫生健康支出（类）行政事业单位医疗（款）其他行政事业单位医疗支出（项）年初预算为101,000.00元，支出决算为101,000.00元，完成年初预算的100.00%，决算数与年初预算数持平的主要原因是：全部完成。</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天津市结核病控制中心2025年度一般公共预算财政拨款基本支出合计11,753,400.00元，与2024年度相比</w:t>
      </w:r>
      <w:r>
        <w:rPr>
          <w:rFonts w:eastAsia="仿宋_GB2312" w:hint="eastAsia"/>
          <w:sz w:val="30"/>
          <w:szCs w:val="30"/>
          <w:highlight w:val="none"/>
          <w:lang w:val="en-US" w:eastAsia="zh-CN"/>
        </w:rPr>
        <w:t xml:space="preserve">增加1,013,100.00元，</w:t>
      </w:r>
      <w:r>
        <w:rPr>
          <w:rFonts w:eastAsia="仿宋_GB2312" w:hint="eastAsia"/>
          <w:sz w:val="30"/>
          <w:szCs w:val="30"/>
          <w:highlight w:val="none"/>
          <w:lang w:val="en-US" w:eastAsia="zh-CN"/>
        </w:rPr>
        <w:t xml:space="preserve">主要原因是人员经费增加。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人员经费10,823,200.00元，主要包括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基本工资、津贴补贴、绩效工资、机关事业单位基本养老保险缴费、职业年金缴费、职工基本医疗保险缴费、其他社会保障缴费、住房公积金、医疗费、其他工资福利支出、退休费、医疗费补助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公用经费930,200.00元，主要包括</w:t>
      </w:r>
      <w:r>
        <w:rPr>
          <w:rFonts w:eastAsia="仿宋_GB2312" w:hint="eastAsia"/>
          <w:sz w:val="30"/>
          <w:szCs w:val="30"/>
          <w:highlight w:val="none"/>
          <w:lang w:val="en-US" w:eastAsia="zh-CN"/>
        </w:rPr>
        <w:t xml:space="preserve">办公费、印刷费、水费、电费、邮电费、取暖费、物业管理费、维修(护)费、培训费、专用材料费、工会经费、福利费、其他交通费用、其他商品和服务支出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决算数与预算数持平的主要原因是本年度未用财政拨款经费列支因公出国（境）费/公务用车购置费/公务用车运行维护费/公务接待费；</w:t>
      </w:r>
      <w:r>
        <w:rPr>
          <w:rFonts w:eastAsia="仿宋_GB2312" w:hint="eastAsia"/>
          <w:sz w:val="30"/>
          <w:szCs w:val="30"/>
          <w:highlight w:val="none"/>
          <w:lang w:val="en-US" w:eastAsia="zh-CN"/>
        </w:rPr>
        <w:t xml:space="preserve">决算数较上年持平的主要原因是本年度未用财政拨款经费列支因公出国（境）费/公务用车购置费/公务用车运行维护费/公务接待费。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结核病控制中心2025年政府采购支出总额1,693,384.00元，其中：政府采购货物支出1,693,384.00元、政府采购工程支出0.00元、政府采购服务支出0.00元。授予中小企业合同金额1,693,384.00元，占政府采购支出总额的100.00%，其中：授予小微企业合同金额1,693,384.00元，占政府采购支出总额的100.00%；货物采购授予中小企业合同金额占货物支出金额的100.00%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截至2025年12月31日，天津市结核病控制中心共有车辆8辆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特种专业技术用车6辆、其他用车2辆</w:t>
      </w:r>
      <w:r>
        <w:rPr>
          <w:rFonts w:eastAsia="仿宋_GB2312" w:hint="eastAsia"/>
          <w:sz w:val="30"/>
          <w:szCs w:val="30"/>
          <w:highlight w:val="none"/>
          <w:lang w:val="en-US" w:eastAsia="zh-CN"/>
        </w:rPr>
        <w:t xml:space="preserve">，其他用车主要包括小型普通客车、载货汽车</w:t>
      </w:r>
      <w:r>
        <w:rPr>
          <w:rFonts w:eastAsia="仿宋_GB2312" w:hint="eastAsia"/>
          <w:sz w:val="30"/>
          <w:szCs w:val="30"/>
          <w:highlight w:val="none"/>
          <w:lang w:val="en-US" w:eastAsia="zh-CN"/>
        </w:rPr>
        <w:t xml:space="preserve">。单价100万元以上的设备6台（套）。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根据预算绩效管理要求，天津市结核病控制中心已对1个2025年度市级项目开展绩效自评，涉及金额11187000.00元，自评结果已随部门决算一并公开。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天津市结核病控制中心不属于乡、镇、街级单位，不涉及公开2025年度教育、医疗卫生、社会保障和就业、住房保障、涉农补贴等民生支出情况。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7B6931C1-8847-4413-B408-C9ACAA6D21F9}"/>
    <w:embedBold r:id="rId2" w:subsetted="1" w:fontKey="{6D365A5C-619E-4179-B033-689FA639E48B}"/>
  </w:font>
  <w:font w:name="Cambria">
    <w:panose1 w:val="02040503050406030204"/>
    <w:charset w:val="00"/>
    <w:family w:val="roman"/>
    <w:pitch w:val="default"/>
    <w:sig w:usb0="E00006FF" w:usb1="420024FF" w:usb2="02000000" w:usb3="00000000" w:csb0="2000019F" w:csb1="00000000"/>
    <w:embedRegular r:id="rId3" w:fontKey="{07861FA9-AE2F-43C2-B54D-39976F4C733C}"/>
  </w:font>
  <w:font w:name="Calibri">
    <w:panose1 w:val="020F0502020204030204"/>
    <w:charset w:val="00"/>
    <w:family w:val="swiss"/>
    <w:pitch w:val="default"/>
    <w:sig w:usb0="E4002EFF" w:usb1="C200247B" w:usb2="00000009" w:usb3="00000000" w:csb0="200001FF" w:csb1="00000000"/>
    <w:embedRegular r:id="rId4" w:fontKey="{7CD88A0D-37EC-43F2-AD92-DCC08318329E}"/>
  </w:font>
  <w:font w:name="黑体">
    <w:panose1 w:val="02010609060101010101"/>
    <w:charset w:val="FFFFFF86"/>
    <w:family w:val="auto"/>
    <w:pitch w:val="default"/>
    <w:sig w:usb0="800002BF" w:usb1="38CF7CFA" w:usb2="00000016" w:usb3="00000000" w:csb0="00040001" w:csb1="00000000"/>
    <w:embedRegular r:id="rId5" w:subsetted="1" w:fontKey="{4A6E9FC2-DFA3-440C-8244-24A5EA12A5B9}"/>
    <w:embedBold r:id="rId6" w:subsetted="1" w:fontKey="{4218376F-6EA8-4346-8EDD-CAA056362475}"/>
  </w:font>
  <w:font w:name="方正小标宋简体">
    <w:altName w:val="黑体"/>
    <w:panose1 w:val="02000000000000000000"/>
    <w:charset w:val="FFFFFF86"/>
    <w:family w:val="auto"/>
    <w:pitch w:val="default"/>
    <w:sig w:usb0="00000001" w:usb1="08000000" w:usb2="00000000" w:usb3="00000000" w:csb0="00040000" w:csb1="00000000"/>
    <w:embedRegular r:id="rId7" w:fontKey="{E6D4D29B-4BBB-4B1E-95E7-FBE62C2AC668}"/>
    <w:embedBold r:id="rId8" w:fontKey="{DB54277C-69D6-4F10-8E25-01ECF797CA75}"/>
  </w:font>
  <w:font w:name="仿宋">
    <w:panose1 w:val="02010609060101010101"/>
    <w:charset w:val="FFFFFF86"/>
    <w:family w:val="auto"/>
    <w:pitch w:val="default"/>
    <w:sig w:usb0="800002BF" w:usb1="38CF7CFA" w:usb2="00000016" w:usb3="00000000" w:csb0="00040001" w:csb1="00000000"/>
    <w:embedRegular r:id="rId9" w:subsetted="1" w:fontKey="{E94A4A15-FF0D-4F8A-AEE7-2CC0D9BCC9E7}"/>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7F505020-8D07-45A4-A7AC-DBE110620F8E}"/>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8300A579-3809-4FD2-B28C-C9446CB9609D}"/>
    <w:embedBold r:id="rId12" w:subsetted="1" w:fontKey="{53AC0DE5-98E8-4E37-B532-35312EA50B61}"/>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31</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34</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